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EFE451">
      <w:pPr>
        <w:spacing w:line="360" w:lineRule="auto"/>
        <w:jc w:val="left"/>
        <w:rPr>
          <w:rFonts w:ascii="黑体" w:hAnsi="黑体" w:eastAsia="黑体"/>
          <w:sz w:val="32"/>
          <w:szCs w:val="32"/>
        </w:rPr>
      </w:pPr>
      <w:r>
        <w:rPr>
          <w:rFonts w:hint="eastAsia" w:ascii="黑体" w:hAnsi="黑体" w:eastAsia="黑体"/>
          <w:sz w:val="32"/>
          <w:szCs w:val="32"/>
        </w:rPr>
        <w:t>附件1</w:t>
      </w:r>
    </w:p>
    <w:p w14:paraId="10991795">
      <w:pPr>
        <w:spacing w:line="500" w:lineRule="exact"/>
        <w:jc w:val="center"/>
        <w:rPr>
          <w:rFonts w:ascii="黑体" w:hAnsi="黑体" w:eastAsia="黑体"/>
          <w:sz w:val="32"/>
          <w:szCs w:val="32"/>
        </w:rPr>
      </w:pPr>
      <w:r>
        <w:rPr>
          <w:rFonts w:hint="eastAsia" w:ascii="黑体" w:hAnsi="黑体" w:eastAsia="黑体"/>
          <w:sz w:val="32"/>
          <w:szCs w:val="32"/>
        </w:rPr>
        <w:t>湖北第二师范</w:t>
      </w:r>
      <w:bookmarkStart w:id="0" w:name="_GoBack"/>
      <w:r>
        <w:rPr>
          <w:rFonts w:hint="eastAsia" w:ascii="黑体" w:hAnsi="黑体" w:eastAsia="黑体"/>
          <w:sz w:val="32"/>
          <w:szCs w:val="32"/>
        </w:rPr>
        <w:t>学院202</w:t>
      </w:r>
      <w:r>
        <w:rPr>
          <w:rFonts w:hint="eastAsia" w:ascii="黑体" w:hAnsi="黑体" w:eastAsia="黑体"/>
          <w:sz w:val="32"/>
          <w:szCs w:val="32"/>
          <w:lang w:val="en-US" w:eastAsia="zh-CN"/>
        </w:rPr>
        <w:t>5</w:t>
      </w:r>
      <w:r>
        <w:rPr>
          <w:rFonts w:hint="eastAsia" w:ascii="黑体" w:hAnsi="黑体" w:eastAsia="黑体"/>
          <w:sz w:val="32"/>
          <w:szCs w:val="32"/>
        </w:rPr>
        <w:t>年校级规章制</w:t>
      </w:r>
      <w:bookmarkEnd w:id="0"/>
      <w:r>
        <w:rPr>
          <w:rFonts w:hint="eastAsia" w:ascii="黑体" w:hAnsi="黑体" w:eastAsia="黑体"/>
          <w:sz w:val="32"/>
          <w:szCs w:val="32"/>
        </w:rPr>
        <w:t>度建设计划申报表</w:t>
      </w:r>
    </w:p>
    <w:tbl>
      <w:tblPr>
        <w:tblStyle w:val="3"/>
        <w:tblW w:w="973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14"/>
        <w:gridCol w:w="7721"/>
      </w:tblGrid>
      <w:tr w14:paraId="7CDAC4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8" w:hRule="atLeast"/>
          <w:jc w:val="center"/>
        </w:trPr>
        <w:tc>
          <w:tcPr>
            <w:tcW w:w="2013" w:type="dxa"/>
            <w:tcBorders>
              <w:top w:val="single" w:color="auto" w:sz="4" w:space="0"/>
              <w:left w:val="single" w:color="auto" w:sz="4" w:space="0"/>
              <w:bottom w:val="single" w:color="auto" w:sz="4" w:space="0"/>
              <w:right w:val="single" w:color="auto" w:sz="4" w:space="0"/>
            </w:tcBorders>
            <w:vAlign w:val="center"/>
          </w:tcPr>
          <w:p w14:paraId="1F350F6C">
            <w:pPr>
              <w:jc w:val="center"/>
              <w:rPr>
                <w:rFonts w:ascii="宋体" w:hAnsi="宋体"/>
                <w:sz w:val="24"/>
              </w:rPr>
            </w:pPr>
            <w:r>
              <w:rPr>
                <w:rFonts w:hint="eastAsia" w:ascii="黑体" w:hAnsi="黑体" w:eastAsia="黑体" w:cs="宋体"/>
                <w:color w:val="000000" w:themeColor="text1"/>
                <w:kern w:val="0"/>
                <w:sz w:val="24"/>
                <w14:textFill>
                  <w14:solidFill>
                    <w14:schemeClr w14:val="tx1"/>
                  </w14:solidFill>
                </w14:textFill>
              </w:rPr>
              <w:t>申请立项单位</w:t>
            </w:r>
          </w:p>
        </w:tc>
        <w:tc>
          <w:tcPr>
            <w:tcW w:w="7718" w:type="dxa"/>
            <w:tcBorders>
              <w:top w:val="single" w:color="auto" w:sz="4" w:space="0"/>
              <w:left w:val="single" w:color="auto" w:sz="4" w:space="0"/>
              <w:bottom w:val="single" w:color="auto" w:sz="4" w:space="0"/>
              <w:right w:val="single" w:color="auto" w:sz="4" w:space="0"/>
            </w:tcBorders>
            <w:vAlign w:val="center"/>
          </w:tcPr>
          <w:p w14:paraId="31C0F92D">
            <w:pPr>
              <w:spacing w:line="460" w:lineRule="exact"/>
              <w:ind w:firstLine="434"/>
              <w:rPr>
                <w:rFonts w:ascii="宋体" w:hAnsi="宋体" w:cs="仿宋_GB2312"/>
                <w:kern w:val="0"/>
                <w:sz w:val="24"/>
              </w:rPr>
            </w:pPr>
          </w:p>
        </w:tc>
      </w:tr>
      <w:tr w14:paraId="4CCDA1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5" w:hRule="atLeast"/>
          <w:jc w:val="center"/>
        </w:trPr>
        <w:tc>
          <w:tcPr>
            <w:tcW w:w="2013" w:type="dxa"/>
            <w:tcBorders>
              <w:top w:val="single" w:color="auto" w:sz="4" w:space="0"/>
              <w:left w:val="single" w:color="auto" w:sz="4" w:space="0"/>
              <w:bottom w:val="single" w:color="auto" w:sz="4" w:space="0"/>
              <w:right w:val="single" w:color="auto" w:sz="4" w:space="0"/>
            </w:tcBorders>
            <w:vAlign w:val="center"/>
          </w:tcPr>
          <w:p w14:paraId="5845ED54">
            <w:pPr>
              <w:jc w:val="center"/>
              <w:rPr>
                <w:rFonts w:ascii="宋体" w:hAnsi="宋体"/>
                <w:kern w:val="0"/>
                <w:sz w:val="24"/>
              </w:rPr>
            </w:pPr>
            <w:r>
              <w:rPr>
                <w:rFonts w:hint="eastAsia" w:ascii="黑体" w:hAnsi="黑体" w:eastAsia="黑体" w:cs="宋体"/>
                <w:color w:val="000000" w:themeColor="text1"/>
                <w:kern w:val="0"/>
                <w:sz w:val="24"/>
                <w14:textFill>
                  <w14:solidFill>
                    <w14:schemeClr w14:val="tx1"/>
                  </w14:solidFill>
                </w14:textFill>
              </w:rPr>
              <w:t>规章制度名称</w:t>
            </w:r>
          </w:p>
        </w:tc>
        <w:tc>
          <w:tcPr>
            <w:tcW w:w="7718" w:type="dxa"/>
            <w:tcBorders>
              <w:top w:val="single" w:color="auto" w:sz="4" w:space="0"/>
              <w:left w:val="single" w:color="auto" w:sz="4" w:space="0"/>
              <w:bottom w:val="single" w:color="auto" w:sz="4" w:space="0"/>
              <w:right w:val="single" w:color="auto" w:sz="4" w:space="0"/>
            </w:tcBorders>
            <w:vAlign w:val="center"/>
          </w:tcPr>
          <w:p w14:paraId="60FAFC4B">
            <w:pPr>
              <w:spacing w:line="460" w:lineRule="exact"/>
              <w:ind w:firstLine="434"/>
              <w:rPr>
                <w:rFonts w:ascii="宋体" w:hAnsi="宋体"/>
                <w:kern w:val="0"/>
                <w:sz w:val="24"/>
              </w:rPr>
            </w:pPr>
          </w:p>
        </w:tc>
      </w:tr>
      <w:tr w14:paraId="7AB075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2013" w:type="dxa"/>
            <w:tcBorders>
              <w:top w:val="single" w:color="auto" w:sz="4" w:space="0"/>
              <w:left w:val="single" w:color="auto" w:sz="4" w:space="0"/>
              <w:bottom w:val="single" w:color="auto" w:sz="4" w:space="0"/>
              <w:right w:val="single" w:color="auto" w:sz="4" w:space="0"/>
            </w:tcBorders>
            <w:vAlign w:val="center"/>
          </w:tcPr>
          <w:p w14:paraId="4BBB4730">
            <w:pPr>
              <w:jc w:val="center"/>
              <w:rPr>
                <w:rFonts w:ascii="黑体" w:hAnsi="黑体" w:eastAsia="黑体" w:cs="宋体"/>
                <w:color w:val="000000" w:themeColor="text1"/>
                <w:kern w:val="0"/>
                <w:sz w:val="24"/>
                <w14:textFill>
                  <w14:solidFill>
                    <w14:schemeClr w14:val="tx1"/>
                  </w14:solidFill>
                </w14:textFill>
              </w:rPr>
            </w:pPr>
            <w:r>
              <w:rPr>
                <w:rFonts w:hint="eastAsia" w:ascii="黑体" w:hAnsi="黑体" w:eastAsia="黑体" w:cs="宋体"/>
                <w:color w:val="000000" w:themeColor="text1"/>
                <w:kern w:val="0"/>
                <w:sz w:val="24"/>
                <w14:textFill>
                  <w14:solidFill>
                    <w14:schemeClr w14:val="tx1"/>
                  </w14:solidFill>
                </w14:textFill>
              </w:rPr>
              <w:t>类型</w:t>
            </w:r>
          </w:p>
          <w:p w14:paraId="4FE503C8">
            <w:pPr>
              <w:jc w:val="center"/>
              <w:rPr>
                <w:rFonts w:ascii="宋体" w:hAnsi="宋体"/>
                <w:sz w:val="24"/>
              </w:rPr>
            </w:pPr>
            <w:r>
              <w:rPr>
                <w:rFonts w:hint="eastAsia" w:ascii="黑体" w:hAnsi="黑体" w:eastAsia="黑体" w:cs="宋体"/>
                <w:color w:val="000000" w:themeColor="text1"/>
                <w:kern w:val="0"/>
                <w:sz w:val="24"/>
                <w14:textFill>
                  <w14:solidFill>
                    <w14:schemeClr w14:val="tx1"/>
                  </w14:solidFill>
                </w14:textFill>
              </w:rPr>
              <w:t>（新建/修订）</w:t>
            </w:r>
          </w:p>
        </w:tc>
        <w:tc>
          <w:tcPr>
            <w:tcW w:w="7718" w:type="dxa"/>
            <w:tcBorders>
              <w:top w:val="single" w:color="auto" w:sz="4" w:space="0"/>
              <w:left w:val="single" w:color="auto" w:sz="4" w:space="0"/>
              <w:bottom w:val="single" w:color="auto" w:sz="4" w:space="0"/>
              <w:right w:val="single" w:color="auto" w:sz="4" w:space="0"/>
            </w:tcBorders>
            <w:vAlign w:val="center"/>
          </w:tcPr>
          <w:p w14:paraId="63A52611">
            <w:pPr>
              <w:spacing w:line="460" w:lineRule="exact"/>
              <w:ind w:firstLine="434"/>
              <w:rPr>
                <w:rFonts w:ascii="宋体" w:hAnsi="宋体" w:cs="仿宋_GB2312"/>
                <w:kern w:val="0"/>
                <w:sz w:val="24"/>
              </w:rPr>
            </w:pPr>
          </w:p>
        </w:tc>
      </w:tr>
      <w:tr w14:paraId="47EAE6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4" w:hRule="atLeast"/>
          <w:jc w:val="center"/>
        </w:trPr>
        <w:tc>
          <w:tcPr>
            <w:tcW w:w="2013" w:type="dxa"/>
            <w:tcBorders>
              <w:top w:val="single" w:color="auto" w:sz="4" w:space="0"/>
              <w:left w:val="single" w:color="auto" w:sz="4" w:space="0"/>
              <w:bottom w:val="single" w:color="auto" w:sz="4" w:space="0"/>
              <w:right w:val="single" w:color="auto" w:sz="4" w:space="0"/>
            </w:tcBorders>
            <w:vAlign w:val="center"/>
          </w:tcPr>
          <w:p w14:paraId="5F859EC1">
            <w:pPr>
              <w:rPr>
                <w:rFonts w:ascii="宋体" w:hAnsi="宋体"/>
                <w:sz w:val="24"/>
              </w:rPr>
            </w:pPr>
            <w:r>
              <w:rPr>
                <w:rFonts w:hint="eastAsia" w:ascii="黑体" w:hAnsi="黑体" w:eastAsia="黑体" w:cs="宋体"/>
                <w:color w:val="000000" w:themeColor="text1"/>
                <w:kern w:val="0"/>
                <w:sz w:val="24"/>
                <w14:textFill>
                  <w14:solidFill>
                    <w14:schemeClr w14:val="tx1"/>
                  </w14:solidFill>
                </w14:textFill>
              </w:rPr>
              <w:t>新建、修订理由</w:t>
            </w:r>
          </w:p>
        </w:tc>
        <w:tc>
          <w:tcPr>
            <w:tcW w:w="7718" w:type="dxa"/>
            <w:tcBorders>
              <w:top w:val="single" w:color="auto" w:sz="4" w:space="0"/>
              <w:left w:val="single" w:color="auto" w:sz="4" w:space="0"/>
              <w:bottom w:val="single" w:color="auto" w:sz="4" w:space="0"/>
              <w:right w:val="single" w:color="auto" w:sz="4" w:space="0"/>
            </w:tcBorders>
            <w:vAlign w:val="center"/>
          </w:tcPr>
          <w:p w14:paraId="7993F788">
            <w:pPr>
              <w:spacing w:line="460" w:lineRule="exact"/>
              <w:ind w:firstLine="434"/>
              <w:rPr>
                <w:rFonts w:ascii="宋体" w:hAnsi="宋体" w:cs="仿宋_GB2312"/>
                <w:kern w:val="0"/>
                <w:sz w:val="24"/>
              </w:rPr>
            </w:pPr>
          </w:p>
          <w:p w14:paraId="0D5C0703">
            <w:pPr>
              <w:spacing w:line="460" w:lineRule="exact"/>
              <w:ind w:firstLine="434"/>
              <w:rPr>
                <w:rFonts w:ascii="宋体" w:hAnsi="宋体" w:cs="仿宋_GB2312"/>
                <w:kern w:val="0"/>
                <w:sz w:val="24"/>
              </w:rPr>
            </w:pPr>
          </w:p>
        </w:tc>
      </w:tr>
      <w:tr w14:paraId="18AB63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5" w:hRule="atLeast"/>
          <w:jc w:val="center"/>
        </w:trPr>
        <w:tc>
          <w:tcPr>
            <w:tcW w:w="2013" w:type="dxa"/>
            <w:tcBorders>
              <w:top w:val="single" w:color="auto" w:sz="4" w:space="0"/>
              <w:left w:val="single" w:color="auto" w:sz="4" w:space="0"/>
              <w:bottom w:val="single" w:color="auto" w:sz="4" w:space="0"/>
              <w:right w:val="single" w:color="auto" w:sz="4" w:space="0"/>
            </w:tcBorders>
            <w:vAlign w:val="center"/>
          </w:tcPr>
          <w:p w14:paraId="59E59B13">
            <w:pPr>
              <w:rPr>
                <w:rFonts w:ascii="宋体" w:hAnsi="宋体"/>
                <w:kern w:val="0"/>
                <w:sz w:val="24"/>
              </w:rPr>
            </w:pPr>
            <w:r>
              <w:rPr>
                <w:rFonts w:hint="eastAsia" w:ascii="黑体" w:hAnsi="黑体" w:eastAsia="黑体" w:cs="宋体"/>
                <w:color w:val="000000" w:themeColor="text1"/>
                <w:kern w:val="0"/>
                <w:sz w:val="24"/>
                <w14:textFill>
                  <w14:solidFill>
                    <w14:schemeClr w14:val="tx1"/>
                  </w14:solidFill>
                </w14:textFill>
              </w:rPr>
              <w:t>相关法律、法规或上位政策依据</w:t>
            </w:r>
          </w:p>
        </w:tc>
        <w:tc>
          <w:tcPr>
            <w:tcW w:w="7718" w:type="dxa"/>
            <w:tcBorders>
              <w:top w:val="single" w:color="auto" w:sz="4" w:space="0"/>
              <w:left w:val="single" w:color="auto" w:sz="4" w:space="0"/>
              <w:bottom w:val="single" w:color="auto" w:sz="4" w:space="0"/>
              <w:right w:val="single" w:color="auto" w:sz="4" w:space="0"/>
            </w:tcBorders>
            <w:vAlign w:val="center"/>
          </w:tcPr>
          <w:p w14:paraId="74E8658D">
            <w:pPr>
              <w:spacing w:line="460" w:lineRule="exact"/>
              <w:ind w:firstLine="434"/>
              <w:rPr>
                <w:rFonts w:ascii="宋体" w:hAnsi="宋体" w:cs="仿宋_GB2312"/>
                <w:kern w:val="0"/>
                <w:sz w:val="24"/>
              </w:rPr>
            </w:pPr>
          </w:p>
          <w:p w14:paraId="425C3069">
            <w:pPr>
              <w:spacing w:line="460" w:lineRule="exact"/>
              <w:ind w:firstLine="434"/>
              <w:rPr>
                <w:rFonts w:ascii="宋体" w:hAnsi="宋体" w:cs="仿宋_GB2312"/>
                <w:kern w:val="0"/>
                <w:sz w:val="24"/>
              </w:rPr>
            </w:pPr>
          </w:p>
        </w:tc>
      </w:tr>
      <w:tr w14:paraId="5C75B1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jc w:val="center"/>
        </w:trPr>
        <w:tc>
          <w:tcPr>
            <w:tcW w:w="2013" w:type="dxa"/>
            <w:tcBorders>
              <w:top w:val="single" w:color="auto" w:sz="4" w:space="0"/>
              <w:left w:val="single" w:color="auto" w:sz="4" w:space="0"/>
              <w:bottom w:val="single" w:color="auto" w:sz="4" w:space="0"/>
              <w:right w:val="single" w:color="auto" w:sz="4" w:space="0"/>
            </w:tcBorders>
            <w:vAlign w:val="center"/>
          </w:tcPr>
          <w:p w14:paraId="2B44C4D2">
            <w:pPr>
              <w:jc w:val="center"/>
              <w:rPr>
                <w:rFonts w:ascii="宋体" w:hAnsi="宋体"/>
                <w:sz w:val="24"/>
              </w:rPr>
            </w:pPr>
            <w:r>
              <w:rPr>
                <w:rFonts w:hint="eastAsia" w:ascii="黑体" w:hAnsi="黑体" w:eastAsia="黑体" w:cs="宋体"/>
                <w:color w:val="000000" w:themeColor="text1"/>
                <w:kern w:val="0"/>
                <w:sz w:val="24"/>
                <w14:textFill>
                  <w14:solidFill>
                    <w14:schemeClr w14:val="tx1"/>
                  </w14:solidFill>
                </w14:textFill>
              </w:rPr>
              <w:t>预计完成时间（月份）</w:t>
            </w:r>
          </w:p>
        </w:tc>
        <w:tc>
          <w:tcPr>
            <w:tcW w:w="7718" w:type="dxa"/>
            <w:tcBorders>
              <w:top w:val="single" w:color="auto" w:sz="4" w:space="0"/>
              <w:left w:val="single" w:color="auto" w:sz="4" w:space="0"/>
              <w:bottom w:val="single" w:color="auto" w:sz="4" w:space="0"/>
              <w:right w:val="single" w:color="auto" w:sz="4" w:space="0"/>
            </w:tcBorders>
            <w:vAlign w:val="center"/>
          </w:tcPr>
          <w:p w14:paraId="67AEB892">
            <w:pPr>
              <w:spacing w:line="460" w:lineRule="exact"/>
              <w:ind w:firstLine="434"/>
              <w:rPr>
                <w:rFonts w:ascii="宋体" w:hAnsi="宋体" w:cs="仿宋_GB2312"/>
                <w:kern w:val="0"/>
                <w:sz w:val="24"/>
              </w:rPr>
            </w:pPr>
          </w:p>
        </w:tc>
      </w:tr>
      <w:tr w14:paraId="360AF9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915" w:hRule="atLeast"/>
          <w:jc w:val="center"/>
        </w:trPr>
        <w:tc>
          <w:tcPr>
            <w:tcW w:w="2013" w:type="dxa"/>
            <w:tcBorders>
              <w:top w:val="single" w:color="auto" w:sz="4" w:space="0"/>
              <w:left w:val="single" w:color="auto" w:sz="4" w:space="0"/>
              <w:bottom w:val="single" w:color="auto" w:sz="4" w:space="0"/>
              <w:right w:val="single" w:color="auto" w:sz="4" w:space="0"/>
            </w:tcBorders>
            <w:vAlign w:val="center"/>
          </w:tcPr>
          <w:p w14:paraId="35940D71">
            <w:pPr>
              <w:ind w:firstLine="434"/>
              <w:rPr>
                <w:rFonts w:ascii="宋体" w:hAnsi="宋体"/>
                <w:sz w:val="24"/>
              </w:rPr>
            </w:pPr>
            <w:r>
              <w:rPr>
                <w:rFonts w:hint="eastAsia" w:ascii="黑体" w:hAnsi="黑体" w:eastAsia="黑体" w:cs="宋体"/>
                <w:color w:val="000000" w:themeColor="text1"/>
                <w:kern w:val="0"/>
                <w:sz w:val="24"/>
                <w14:textFill>
                  <w14:solidFill>
                    <w14:schemeClr w14:val="tx1"/>
                  </w14:solidFill>
                </w14:textFill>
              </w:rPr>
              <w:t>主要内容</w:t>
            </w:r>
          </w:p>
        </w:tc>
        <w:tc>
          <w:tcPr>
            <w:tcW w:w="7718" w:type="dxa"/>
            <w:tcBorders>
              <w:top w:val="single" w:color="auto" w:sz="4" w:space="0"/>
              <w:left w:val="single" w:color="auto" w:sz="4" w:space="0"/>
              <w:bottom w:val="single" w:color="auto" w:sz="4" w:space="0"/>
              <w:right w:val="single" w:color="auto" w:sz="4" w:space="0"/>
            </w:tcBorders>
          </w:tcPr>
          <w:p w14:paraId="7BC6B6E5">
            <w:pPr>
              <w:ind w:firstLine="434"/>
              <w:rPr>
                <w:rFonts w:ascii="黑体" w:hAnsi="黑体" w:eastAsia="黑体" w:cs="宋体"/>
                <w:color w:val="000000" w:themeColor="text1"/>
                <w:kern w:val="0"/>
                <w:sz w:val="24"/>
                <w14:textFill>
                  <w14:solidFill>
                    <w14:schemeClr w14:val="tx1"/>
                  </w14:solidFill>
                </w14:textFill>
              </w:rPr>
            </w:pPr>
            <w:r>
              <w:rPr>
                <w:rFonts w:hint="eastAsia" w:ascii="黑体" w:hAnsi="黑体" w:eastAsia="黑体" w:cs="宋体"/>
                <w:color w:val="000000" w:themeColor="text1"/>
                <w:kern w:val="0"/>
                <w:sz w:val="24"/>
                <w14:textFill>
                  <w14:solidFill>
                    <w14:schemeClr w14:val="tx1"/>
                  </w14:solidFill>
                </w14:textFill>
              </w:rPr>
              <w:t>（简要介绍拟制定、修订规章制度的主要内容）</w:t>
            </w:r>
          </w:p>
          <w:p w14:paraId="78E76B05">
            <w:pPr>
              <w:spacing w:line="460" w:lineRule="exact"/>
              <w:ind w:firstLine="434"/>
              <w:rPr>
                <w:rFonts w:ascii="宋体" w:hAnsi="宋体" w:cs="仿宋_GB2312"/>
                <w:sz w:val="24"/>
              </w:rPr>
            </w:pPr>
          </w:p>
          <w:p w14:paraId="0D23D91C">
            <w:pPr>
              <w:spacing w:line="460" w:lineRule="exact"/>
              <w:ind w:firstLine="434"/>
              <w:rPr>
                <w:rFonts w:ascii="宋体" w:hAnsi="宋体" w:cs="仿宋_GB2312"/>
                <w:sz w:val="24"/>
              </w:rPr>
            </w:pPr>
          </w:p>
          <w:p w14:paraId="0D9791B7">
            <w:pPr>
              <w:spacing w:line="460" w:lineRule="exact"/>
              <w:ind w:firstLine="434"/>
              <w:rPr>
                <w:rFonts w:ascii="宋体" w:hAnsi="宋体" w:cs="仿宋_GB2312"/>
                <w:sz w:val="24"/>
              </w:rPr>
            </w:pPr>
          </w:p>
          <w:p w14:paraId="0E33BFAA">
            <w:pPr>
              <w:spacing w:line="460" w:lineRule="exact"/>
              <w:ind w:firstLine="434"/>
              <w:rPr>
                <w:rFonts w:ascii="宋体" w:hAnsi="宋体" w:cs="仿宋_GB2312"/>
                <w:sz w:val="24"/>
              </w:rPr>
            </w:pPr>
          </w:p>
          <w:p w14:paraId="1DE49BD8">
            <w:pPr>
              <w:spacing w:line="460" w:lineRule="exact"/>
              <w:ind w:firstLine="434"/>
              <w:rPr>
                <w:rFonts w:ascii="宋体" w:hAnsi="宋体" w:cs="仿宋_GB2312"/>
                <w:sz w:val="24"/>
              </w:rPr>
            </w:pPr>
          </w:p>
          <w:p w14:paraId="7EA377C8">
            <w:pPr>
              <w:spacing w:line="460" w:lineRule="exact"/>
              <w:ind w:firstLine="434"/>
              <w:rPr>
                <w:rFonts w:hint="eastAsia" w:ascii="宋体" w:hAnsi="宋体" w:cs="仿宋_GB2312"/>
                <w:sz w:val="24"/>
              </w:rPr>
            </w:pPr>
          </w:p>
          <w:p w14:paraId="22C32515">
            <w:pPr>
              <w:spacing w:line="460" w:lineRule="exact"/>
              <w:ind w:firstLine="434"/>
              <w:rPr>
                <w:rFonts w:hint="eastAsia" w:ascii="宋体" w:hAnsi="宋体" w:cs="仿宋_GB2312"/>
                <w:sz w:val="24"/>
              </w:rPr>
            </w:pPr>
          </w:p>
          <w:p w14:paraId="2A113B24">
            <w:pPr>
              <w:spacing w:line="460" w:lineRule="exact"/>
              <w:ind w:firstLine="434"/>
              <w:rPr>
                <w:rFonts w:ascii="宋体" w:hAnsi="宋体" w:cs="仿宋_GB2312"/>
                <w:sz w:val="24"/>
              </w:rPr>
            </w:pPr>
          </w:p>
          <w:p w14:paraId="1E01EADA">
            <w:pPr>
              <w:spacing w:line="460" w:lineRule="exact"/>
              <w:ind w:firstLine="434"/>
              <w:rPr>
                <w:rFonts w:ascii="宋体" w:hAnsi="宋体" w:cs="仿宋_GB2312"/>
                <w:sz w:val="24"/>
              </w:rPr>
            </w:pPr>
          </w:p>
        </w:tc>
      </w:tr>
    </w:tbl>
    <w:p w14:paraId="79C302E4">
      <w:pPr>
        <w:ind w:firstLine="576" w:firstLineChars="180"/>
        <w:rPr>
          <w:rFonts w:ascii="仿宋_GB2312" w:hAnsi="宋体" w:eastAsia="仿宋_GB2312"/>
          <w:sz w:val="32"/>
          <w:szCs w:val="32"/>
        </w:rPr>
      </w:pPr>
    </w:p>
    <w:p w14:paraId="653FC4A5">
      <w:pPr>
        <w:ind w:firstLine="576" w:firstLineChars="180"/>
        <w:rPr>
          <w:rFonts w:ascii="仿宋_GB2312" w:hAnsi="宋体" w:eastAsia="仿宋_GB2312"/>
          <w:sz w:val="32"/>
          <w:szCs w:val="32"/>
        </w:rPr>
      </w:pPr>
    </w:p>
    <w:p w14:paraId="4D316C5C">
      <w:pPr>
        <w:ind w:firstLine="576" w:firstLineChars="180"/>
        <w:rPr>
          <w:rFonts w:ascii="仿宋_GB2312" w:hAnsi="宋体" w:eastAsia="仿宋_GB2312"/>
          <w:sz w:val="32"/>
          <w:szCs w:val="32"/>
        </w:rPr>
      </w:pPr>
    </w:p>
    <w:p w14:paraId="04416BB2">
      <w:pPr>
        <w:spacing w:line="360" w:lineRule="auto"/>
        <w:jc w:val="left"/>
        <w:rPr>
          <w:rFonts w:ascii="黑体" w:hAnsi="黑体" w:eastAsia="黑体"/>
          <w:sz w:val="32"/>
          <w:szCs w:val="32"/>
        </w:rPr>
      </w:pPr>
      <w:r>
        <w:rPr>
          <w:rFonts w:hint="eastAsia" w:ascii="黑体" w:hAnsi="黑体" w:eastAsia="黑体"/>
          <w:sz w:val="32"/>
          <w:szCs w:val="32"/>
        </w:rPr>
        <w:t>附件2</w:t>
      </w:r>
    </w:p>
    <w:p w14:paraId="677A9CD8">
      <w:pPr>
        <w:spacing w:line="360" w:lineRule="auto"/>
        <w:jc w:val="center"/>
        <w:rPr>
          <w:rFonts w:ascii="黑体" w:hAnsi="黑体" w:eastAsia="黑体"/>
          <w:sz w:val="32"/>
          <w:szCs w:val="32"/>
        </w:rPr>
      </w:pPr>
      <w:r>
        <w:rPr>
          <w:rFonts w:hint="eastAsia" w:ascii="黑体" w:hAnsi="黑体" w:eastAsia="黑体"/>
          <w:sz w:val="32"/>
          <w:szCs w:val="32"/>
        </w:rPr>
        <w:t>湖北第二师范学院202</w:t>
      </w:r>
      <w:r>
        <w:rPr>
          <w:rFonts w:hint="eastAsia" w:ascii="黑体" w:hAnsi="黑体" w:eastAsia="黑体"/>
          <w:sz w:val="32"/>
          <w:szCs w:val="32"/>
          <w:lang w:val="en-US" w:eastAsia="zh-CN"/>
        </w:rPr>
        <w:t>5</w:t>
      </w:r>
      <w:r>
        <w:rPr>
          <w:rFonts w:hint="eastAsia" w:ascii="黑体" w:hAnsi="黑体" w:eastAsia="黑体"/>
          <w:sz w:val="32"/>
          <w:szCs w:val="32"/>
        </w:rPr>
        <w:t>年校级规章制度废止申请表</w:t>
      </w:r>
    </w:p>
    <w:tbl>
      <w:tblPr>
        <w:tblStyle w:val="4"/>
        <w:tblW w:w="9490" w:type="dxa"/>
        <w:jc w:val="cente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581"/>
        <w:gridCol w:w="1581"/>
        <w:gridCol w:w="1581"/>
        <w:gridCol w:w="1581"/>
        <w:gridCol w:w="1583"/>
        <w:gridCol w:w="1583"/>
      </w:tblGrid>
      <w:tr w14:paraId="19B2E7FE">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68" w:hRule="atLeast"/>
          <w:jc w:val="center"/>
        </w:trPr>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1E7AF43">
            <w:pPr>
              <w:ind w:firstLine="434"/>
              <w:rPr>
                <w:kern w:val="2"/>
                <w:sz w:val="21"/>
              </w:rPr>
            </w:pPr>
            <w:r>
              <w:rPr>
                <w:rFonts w:hint="eastAsia" w:ascii="黑体" w:hAnsi="黑体" w:eastAsia="黑体" w:cs="宋体"/>
                <w:color w:val="000000" w:themeColor="text1"/>
                <w:kern w:val="0"/>
                <w:sz w:val="24"/>
                <w14:textFill>
                  <w14:solidFill>
                    <w14:schemeClr w14:val="tx1"/>
                  </w14:solidFill>
                </w14:textFill>
              </w:rPr>
              <w:t>序号</w:t>
            </w: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93C391A">
            <w:pPr>
              <w:ind w:firstLine="240" w:firstLineChars="100"/>
              <w:rPr>
                <w:rFonts w:ascii="黑体" w:hAnsi="黑体" w:eastAsia="黑体" w:cs="宋体"/>
                <w:color w:val="000000" w:themeColor="text1"/>
                <w:kern w:val="0"/>
                <w:sz w:val="24"/>
                <w14:textFill>
                  <w14:solidFill>
                    <w14:schemeClr w14:val="tx1"/>
                  </w14:solidFill>
                </w14:textFill>
              </w:rPr>
            </w:pPr>
            <w:r>
              <w:rPr>
                <w:rFonts w:hint="eastAsia" w:ascii="黑体" w:hAnsi="黑体" w:eastAsia="黑体" w:cs="宋体"/>
                <w:color w:val="000000" w:themeColor="text1"/>
                <w:kern w:val="0"/>
                <w:sz w:val="24"/>
                <w14:textFill>
                  <w14:solidFill>
                    <w14:schemeClr w14:val="tx1"/>
                  </w14:solidFill>
                </w14:textFill>
              </w:rPr>
              <w:t>责任单位</w:t>
            </w: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547D8BF">
            <w:pPr>
              <w:rPr>
                <w:kern w:val="2"/>
                <w:sz w:val="21"/>
              </w:rPr>
            </w:pPr>
            <w:r>
              <w:rPr>
                <w:rFonts w:hint="eastAsia" w:ascii="黑体" w:hAnsi="黑体" w:eastAsia="黑体" w:cs="宋体"/>
                <w:color w:val="000000" w:themeColor="text1"/>
                <w:kern w:val="0"/>
                <w:sz w:val="24"/>
                <w14:textFill>
                  <w14:solidFill>
                    <w14:schemeClr w14:val="tx1"/>
                  </w14:solidFill>
                </w14:textFill>
              </w:rPr>
              <w:t>现行校级规章制度名称</w:t>
            </w: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2A72031">
            <w:pPr>
              <w:rPr>
                <w:kern w:val="2"/>
                <w:sz w:val="21"/>
              </w:rPr>
            </w:pPr>
            <w:r>
              <w:rPr>
                <w:rFonts w:hint="eastAsia" w:ascii="黑体" w:hAnsi="黑体" w:eastAsia="黑体" w:cs="宋体"/>
                <w:color w:val="000000" w:themeColor="text1"/>
                <w:kern w:val="0"/>
                <w:sz w:val="24"/>
                <w14:textFill>
                  <w14:solidFill>
                    <w14:schemeClr w14:val="tx1"/>
                  </w14:solidFill>
                </w14:textFill>
              </w:rPr>
              <w:t>发文字号</w:t>
            </w:r>
          </w:p>
        </w:tc>
        <w:tc>
          <w:tcPr>
            <w:tcW w:w="158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A4B906E">
            <w:pPr>
              <w:rPr>
                <w:kern w:val="2"/>
                <w:sz w:val="21"/>
              </w:rPr>
            </w:pPr>
            <w:r>
              <w:rPr>
                <w:rFonts w:hint="eastAsia" w:ascii="黑体" w:hAnsi="黑体" w:eastAsia="黑体" w:cs="宋体"/>
                <w:color w:val="000000" w:themeColor="text1"/>
                <w:kern w:val="0"/>
                <w:sz w:val="24"/>
                <w14:textFill>
                  <w14:solidFill>
                    <w14:schemeClr w14:val="tx1"/>
                  </w14:solidFill>
                </w14:textFill>
              </w:rPr>
              <w:t>发布时间</w:t>
            </w:r>
          </w:p>
        </w:tc>
        <w:tc>
          <w:tcPr>
            <w:tcW w:w="158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865DC6F">
            <w:pPr>
              <w:rPr>
                <w:kern w:val="2"/>
                <w:sz w:val="21"/>
              </w:rPr>
            </w:pPr>
            <w:r>
              <w:rPr>
                <w:rFonts w:hint="eastAsia" w:ascii="黑体" w:hAnsi="黑体" w:eastAsia="黑体" w:cs="宋体"/>
                <w:color w:val="000000" w:themeColor="text1"/>
                <w:kern w:val="0"/>
                <w:sz w:val="24"/>
                <w14:textFill>
                  <w14:solidFill>
                    <w14:schemeClr w14:val="tx1"/>
                  </w14:solidFill>
                </w14:textFill>
              </w:rPr>
              <w:t>废止原因</w:t>
            </w:r>
          </w:p>
        </w:tc>
      </w:tr>
      <w:tr w14:paraId="1B2EE91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12" w:hRule="atLeast"/>
          <w:jc w:val="center"/>
        </w:trPr>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F5A9429">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E9FD63D">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DCF6911">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EF4E485">
            <w:pPr>
              <w:spacing w:line="500" w:lineRule="exact"/>
              <w:jc w:val="center"/>
              <w:rPr>
                <w:kern w:val="2"/>
                <w:sz w:val="21"/>
              </w:rPr>
            </w:pPr>
          </w:p>
        </w:tc>
        <w:tc>
          <w:tcPr>
            <w:tcW w:w="158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0E74EB9">
            <w:pPr>
              <w:spacing w:line="500" w:lineRule="exact"/>
              <w:jc w:val="center"/>
              <w:rPr>
                <w:kern w:val="2"/>
                <w:sz w:val="21"/>
              </w:rPr>
            </w:pPr>
          </w:p>
        </w:tc>
        <w:tc>
          <w:tcPr>
            <w:tcW w:w="158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5CAEDEC">
            <w:pPr>
              <w:spacing w:line="500" w:lineRule="exact"/>
              <w:jc w:val="center"/>
              <w:rPr>
                <w:kern w:val="2"/>
                <w:sz w:val="21"/>
              </w:rPr>
            </w:pPr>
          </w:p>
        </w:tc>
      </w:tr>
      <w:tr w14:paraId="59AA693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12" w:hRule="atLeast"/>
          <w:jc w:val="center"/>
        </w:trPr>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A3F6F1E">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D231A30">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9CAC7BB">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DBE0B23">
            <w:pPr>
              <w:spacing w:line="500" w:lineRule="exact"/>
              <w:jc w:val="center"/>
              <w:rPr>
                <w:kern w:val="2"/>
                <w:sz w:val="21"/>
              </w:rPr>
            </w:pPr>
          </w:p>
        </w:tc>
        <w:tc>
          <w:tcPr>
            <w:tcW w:w="158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8D14F68">
            <w:pPr>
              <w:spacing w:line="500" w:lineRule="exact"/>
              <w:jc w:val="center"/>
              <w:rPr>
                <w:kern w:val="2"/>
                <w:sz w:val="21"/>
              </w:rPr>
            </w:pPr>
          </w:p>
        </w:tc>
        <w:tc>
          <w:tcPr>
            <w:tcW w:w="158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C3A4651">
            <w:pPr>
              <w:spacing w:line="500" w:lineRule="exact"/>
              <w:jc w:val="center"/>
              <w:rPr>
                <w:kern w:val="2"/>
                <w:sz w:val="21"/>
              </w:rPr>
            </w:pPr>
          </w:p>
        </w:tc>
      </w:tr>
      <w:tr w14:paraId="728CB644">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12" w:hRule="atLeast"/>
          <w:jc w:val="center"/>
        </w:trPr>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6D2289E">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0C20514">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A011151">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16ED4E9">
            <w:pPr>
              <w:spacing w:line="500" w:lineRule="exact"/>
              <w:jc w:val="center"/>
              <w:rPr>
                <w:kern w:val="2"/>
                <w:sz w:val="21"/>
              </w:rPr>
            </w:pPr>
          </w:p>
        </w:tc>
        <w:tc>
          <w:tcPr>
            <w:tcW w:w="158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66281B5">
            <w:pPr>
              <w:spacing w:line="500" w:lineRule="exact"/>
              <w:jc w:val="center"/>
              <w:rPr>
                <w:kern w:val="2"/>
                <w:sz w:val="21"/>
              </w:rPr>
            </w:pPr>
          </w:p>
        </w:tc>
        <w:tc>
          <w:tcPr>
            <w:tcW w:w="158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392DFCA">
            <w:pPr>
              <w:spacing w:line="500" w:lineRule="exact"/>
              <w:jc w:val="center"/>
              <w:rPr>
                <w:kern w:val="2"/>
                <w:sz w:val="21"/>
              </w:rPr>
            </w:pPr>
          </w:p>
        </w:tc>
      </w:tr>
      <w:tr w14:paraId="3B40D1F7">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12" w:hRule="atLeast"/>
          <w:jc w:val="center"/>
        </w:trPr>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477E202">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AF89309">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B55E0D9">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7499370">
            <w:pPr>
              <w:spacing w:line="500" w:lineRule="exact"/>
              <w:jc w:val="center"/>
              <w:rPr>
                <w:kern w:val="2"/>
                <w:sz w:val="21"/>
              </w:rPr>
            </w:pPr>
          </w:p>
        </w:tc>
        <w:tc>
          <w:tcPr>
            <w:tcW w:w="158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F9D0130">
            <w:pPr>
              <w:spacing w:line="500" w:lineRule="exact"/>
              <w:jc w:val="center"/>
              <w:rPr>
                <w:kern w:val="2"/>
                <w:sz w:val="21"/>
              </w:rPr>
            </w:pPr>
          </w:p>
        </w:tc>
        <w:tc>
          <w:tcPr>
            <w:tcW w:w="158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56CB995">
            <w:pPr>
              <w:spacing w:line="500" w:lineRule="exact"/>
              <w:jc w:val="center"/>
              <w:rPr>
                <w:kern w:val="2"/>
                <w:sz w:val="21"/>
              </w:rPr>
            </w:pPr>
          </w:p>
        </w:tc>
      </w:tr>
      <w:tr w14:paraId="4ED3B07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6" w:hRule="atLeast"/>
          <w:jc w:val="center"/>
        </w:trPr>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32C5547">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1C96AF0C">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3815747">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293BDB2">
            <w:pPr>
              <w:spacing w:line="500" w:lineRule="exact"/>
              <w:jc w:val="center"/>
              <w:rPr>
                <w:kern w:val="2"/>
                <w:sz w:val="21"/>
              </w:rPr>
            </w:pPr>
          </w:p>
        </w:tc>
        <w:tc>
          <w:tcPr>
            <w:tcW w:w="158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6F5FBF9">
            <w:pPr>
              <w:spacing w:line="500" w:lineRule="exact"/>
              <w:jc w:val="center"/>
              <w:rPr>
                <w:kern w:val="2"/>
                <w:sz w:val="21"/>
              </w:rPr>
            </w:pPr>
          </w:p>
        </w:tc>
        <w:tc>
          <w:tcPr>
            <w:tcW w:w="158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2FAC3D2">
            <w:pPr>
              <w:spacing w:line="500" w:lineRule="exact"/>
              <w:jc w:val="center"/>
              <w:rPr>
                <w:kern w:val="2"/>
                <w:sz w:val="21"/>
              </w:rPr>
            </w:pPr>
          </w:p>
        </w:tc>
      </w:tr>
      <w:tr w14:paraId="35FF734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6" w:hRule="atLeast"/>
          <w:jc w:val="center"/>
        </w:trPr>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28B9A70">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86D54A4">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3CA19ECC">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E34B8E8">
            <w:pPr>
              <w:spacing w:line="500" w:lineRule="exact"/>
              <w:jc w:val="center"/>
              <w:rPr>
                <w:kern w:val="2"/>
                <w:sz w:val="21"/>
              </w:rPr>
            </w:pPr>
          </w:p>
        </w:tc>
        <w:tc>
          <w:tcPr>
            <w:tcW w:w="158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9703837">
            <w:pPr>
              <w:spacing w:line="500" w:lineRule="exact"/>
              <w:jc w:val="center"/>
              <w:rPr>
                <w:kern w:val="2"/>
                <w:sz w:val="21"/>
              </w:rPr>
            </w:pPr>
          </w:p>
        </w:tc>
        <w:tc>
          <w:tcPr>
            <w:tcW w:w="158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ADF2DFC">
            <w:pPr>
              <w:spacing w:line="500" w:lineRule="exact"/>
              <w:jc w:val="center"/>
              <w:rPr>
                <w:kern w:val="2"/>
                <w:sz w:val="21"/>
              </w:rPr>
            </w:pPr>
          </w:p>
        </w:tc>
      </w:tr>
      <w:tr w14:paraId="4DE6C9B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6" w:hRule="atLeast"/>
          <w:jc w:val="center"/>
        </w:trPr>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2C4747E">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2393E81">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271D0594">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54F4665">
            <w:pPr>
              <w:spacing w:line="500" w:lineRule="exact"/>
              <w:jc w:val="center"/>
              <w:rPr>
                <w:kern w:val="2"/>
                <w:sz w:val="21"/>
              </w:rPr>
            </w:pPr>
          </w:p>
        </w:tc>
        <w:tc>
          <w:tcPr>
            <w:tcW w:w="158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636F4B8">
            <w:pPr>
              <w:spacing w:line="500" w:lineRule="exact"/>
              <w:jc w:val="center"/>
              <w:rPr>
                <w:kern w:val="2"/>
                <w:sz w:val="21"/>
              </w:rPr>
            </w:pPr>
          </w:p>
        </w:tc>
        <w:tc>
          <w:tcPr>
            <w:tcW w:w="158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567D4498">
            <w:pPr>
              <w:spacing w:line="500" w:lineRule="exact"/>
              <w:jc w:val="center"/>
              <w:rPr>
                <w:kern w:val="2"/>
                <w:sz w:val="21"/>
              </w:rPr>
            </w:pPr>
          </w:p>
        </w:tc>
      </w:tr>
      <w:tr w14:paraId="24CDA7F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626" w:hRule="atLeast"/>
          <w:jc w:val="center"/>
        </w:trPr>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86DAD98">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65905DC0">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0CAB196">
            <w:pPr>
              <w:spacing w:line="500" w:lineRule="exact"/>
              <w:jc w:val="center"/>
              <w:rPr>
                <w:kern w:val="2"/>
                <w:sz w:val="21"/>
              </w:rPr>
            </w:pPr>
          </w:p>
        </w:tc>
        <w:tc>
          <w:tcPr>
            <w:tcW w:w="1581"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08CCB108">
            <w:pPr>
              <w:spacing w:line="500" w:lineRule="exact"/>
              <w:jc w:val="center"/>
              <w:rPr>
                <w:kern w:val="2"/>
                <w:sz w:val="21"/>
              </w:rPr>
            </w:pPr>
          </w:p>
        </w:tc>
        <w:tc>
          <w:tcPr>
            <w:tcW w:w="158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77B5554F">
            <w:pPr>
              <w:spacing w:line="500" w:lineRule="exact"/>
              <w:jc w:val="center"/>
              <w:rPr>
                <w:kern w:val="2"/>
                <w:sz w:val="21"/>
              </w:rPr>
            </w:pPr>
          </w:p>
        </w:tc>
        <w:tc>
          <w:tcPr>
            <w:tcW w:w="1583" w:type="dxa"/>
            <w:tcBorders>
              <w:top w:val="single" w:color="000000" w:themeColor="text1" w:sz="4" w:space="0"/>
              <w:left w:val="single" w:color="000000" w:themeColor="text1" w:sz="4" w:space="0"/>
              <w:bottom w:val="single" w:color="000000" w:themeColor="text1" w:sz="4" w:space="0"/>
              <w:right w:val="single" w:color="000000" w:themeColor="text1" w:sz="4" w:space="0"/>
            </w:tcBorders>
            <w:vAlign w:val="center"/>
          </w:tcPr>
          <w:p w14:paraId="4641A1E9">
            <w:pPr>
              <w:spacing w:line="500" w:lineRule="exact"/>
              <w:jc w:val="center"/>
              <w:rPr>
                <w:kern w:val="2"/>
                <w:sz w:val="21"/>
              </w:rPr>
            </w:pPr>
          </w:p>
        </w:tc>
      </w:tr>
    </w:tbl>
    <w:p w14:paraId="1D155907">
      <w:pPr>
        <w:spacing w:line="500" w:lineRule="exact"/>
      </w:pPr>
    </w:p>
    <w:p w14:paraId="4FCCE34D">
      <w:pPr>
        <w:spacing w:line="500" w:lineRule="exact"/>
        <w:rPr>
          <w:rFonts w:ascii="仿宋_GB2312" w:hAnsi="宋体" w:eastAsia="仿宋_GB2312"/>
          <w:b/>
          <w:sz w:val="32"/>
          <w:szCs w:val="32"/>
        </w:rPr>
      </w:pPr>
    </w:p>
    <w:p w14:paraId="2805B3EC">
      <w:pPr>
        <w:ind w:firstLine="576" w:firstLineChars="180"/>
        <w:rPr>
          <w:rFonts w:ascii="仿宋_GB2312" w:hAnsi="宋体" w:eastAsia="仿宋_GB2312"/>
          <w:sz w:val="32"/>
          <w:szCs w:val="32"/>
        </w:rPr>
      </w:pPr>
    </w:p>
    <w:p w14:paraId="21B9C8D5">
      <w:pPr>
        <w:spacing w:line="360" w:lineRule="auto"/>
        <w:jc w:val="left"/>
        <w:rPr>
          <w:rFonts w:ascii="黑体" w:hAnsi="黑体" w:eastAsia="黑体"/>
          <w:sz w:val="32"/>
          <w:szCs w:val="32"/>
        </w:rPr>
      </w:pPr>
    </w:p>
    <w:p w14:paraId="2901BCB3">
      <w:pPr>
        <w:spacing w:line="360" w:lineRule="auto"/>
        <w:jc w:val="left"/>
        <w:rPr>
          <w:rFonts w:ascii="黑体" w:hAnsi="黑体" w:eastAsia="黑体"/>
          <w:sz w:val="32"/>
          <w:szCs w:val="32"/>
        </w:rPr>
      </w:pPr>
    </w:p>
    <w:p w14:paraId="538E2307">
      <w:pPr>
        <w:spacing w:line="360" w:lineRule="auto"/>
        <w:jc w:val="left"/>
        <w:rPr>
          <w:rFonts w:ascii="黑体" w:hAnsi="黑体" w:eastAsia="黑体"/>
          <w:sz w:val="32"/>
          <w:szCs w:val="32"/>
        </w:rPr>
      </w:pPr>
    </w:p>
    <w:p w14:paraId="01A39088">
      <w:pPr>
        <w:spacing w:line="360" w:lineRule="auto"/>
        <w:jc w:val="left"/>
        <w:rPr>
          <w:rFonts w:ascii="黑体" w:hAnsi="黑体" w:eastAsia="黑体"/>
          <w:sz w:val="32"/>
          <w:szCs w:val="32"/>
        </w:rPr>
      </w:pPr>
    </w:p>
    <w:p w14:paraId="623CEEBC">
      <w:pPr>
        <w:spacing w:line="360" w:lineRule="auto"/>
        <w:jc w:val="left"/>
        <w:rPr>
          <w:rFonts w:ascii="黑体" w:hAnsi="黑体" w:eastAsia="黑体"/>
          <w:sz w:val="32"/>
          <w:szCs w:val="32"/>
        </w:rPr>
      </w:pPr>
    </w:p>
    <w:p w14:paraId="3E05AB45">
      <w:pPr>
        <w:spacing w:line="360" w:lineRule="auto"/>
        <w:jc w:val="left"/>
        <w:rPr>
          <w:rFonts w:ascii="黑体" w:hAnsi="黑体" w:eastAsia="黑体"/>
          <w:sz w:val="32"/>
          <w:szCs w:val="32"/>
        </w:rPr>
      </w:pPr>
    </w:p>
    <w:p w14:paraId="5DA5FAC1">
      <w:pPr>
        <w:spacing w:line="360" w:lineRule="auto"/>
        <w:jc w:val="left"/>
        <w:rPr>
          <w:rFonts w:ascii="黑体" w:hAnsi="黑体" w:eastAsia="黑体"/>
          <w:sz w:val="32"/>
          <w:szCs w:val="32"/>
        </w:rPr>
      </w:pPr>
    </w:p>
    <w:p w14:paraId="0E010C1F">
      <w:pPr>
        <w:adjustRightInd w:val="0"/>
        <w:snapToGrid w:val="0"/>
        <w:spacing w:line="584" w:lineRule="exact"/>
        <w:rPr>
          <w:rFonts w:ascii="仿宋_GB2312" w:hAnsi="宋体" w:eastAsia="仿宋_GB2312"/>
          <w:sz w:val="32"/>
          <w:szCs w:val="32"/>
        </w:rPr>
      </w:pPr>
    </w:p>
    <w:p w14:paraId="1794E09F">
      <w:pPr>
        <w:spacing w:line="360" w:lineRule="auto"/>
        <w:jc w:val="left"/>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3</w:t>
      </w:r>
    </w:p>
    <w:p w14:paraId="4479ABC5">
      <w:pPr>
        <w:tabs>
          <w:tab w:val="right" w:leader="dot" w:pos="8948"/>
        </w:tabs>
        <w:spacing w:line="360" w:lineRule="auto"/>
        <w:jc w:val="center"/>
        <w:rPr>
          <w:rFonts w:hint="eastAsia" w:ascii="黑体" w:hAnsi="黑体" w:eastAsia="黑体" w:cs="黑体"/>
          <w:sz w:val="36"/>
          <w:szCs w:val="36"/>
        </w:rPr>
      </w:pPr>
      <w:r>
        <w:rPr>
          <w:rFonts w:hint="eastAsia" w:ascii="黑体" w:hAnsi="黑体" w:eastAsia="黑体" w:cs="黑体"/>
          <w:sz w:val="36"/>
          <w:szCs w:val="36"/>
        </w:rPr>
        <w:t>湖北第二师范学院校级现行有效重要制度清单</w:t>
      </w:r>
    </w:p>
    <w:p w14:paraId="1CA073BA">
      <w:pPr>
        <w:tabs>
          <w:tab w:val="right" w:leader="dot" w:pos="8948"/>
        </w:tabs>
        <w:spacing w:line="360" w:lineRule="auto"/>
        <w:jc w:val="center"/>
        <w:rPr>
          <w:rFonts w:hint="eastAsia" w:ascii="仿宋" w:hAnsi="仿宋" w:eastAsia="仿宋" w:cs="仿宋"/>
          <w:color w:val="000000" w:themeColor="text1"/>
          <w:sz w:val="28"/>
          <w:szCs w:val="28"/>
          <w14:textFill>
            <w14:solidFill>
              <w14:schemeClr w14:val="tx1"/>
            </w14:solidFill>
          </w14:textFill>
        </w:rPr>
      </w:pPr>
      <w:r>
        <w:rPr>
          <w:rFonts w:hint="eastAsia" w:ascii="仿宋" w:hAnsi="仿宋" w:eastAsia="仿宋" w:cs="仿宋"/>
          <w:color w:val="000000" w:themeColor="text1"/>
          <w:sz w:val="28"/>
          <w:szCs w:val="28"/>
          <w14:textFill>
            <w14:solidFill>
              <w14:schemeClr w14:val="tx1"/>
            </w14:solidFill>
          </w14:textFill>
        </w:rPr>
        <w:t>（截止2024年</w:t>
      </w:r>
      <w:r>
        <w:rPr>
          <w:rFonts w:hint="eastAsia" w:ascii="仿宋" w:hAnsi="仿宋" w:eastAsia="仿宋" w:cs="仿宋"/>
          <w:color w:val="000000" w:themeColor="text1"/>
          <w:sz w:val="28"/>
          <w:szCs w:val="28"/>
          <w:lang w:val="en-US" w:eastAsia="zh-CN"/>
          <w14:textFill>
            <w14:solidFill>
              <w14:schemeClr w14:val="tx1"/>
            </w14:solidFill>
          </w14:textFill>
        </w:rPr>
        <w:t>12</w:t>
      </w:r>
      <w:r>
        <w:rPr>
          <w:rFonts w:hint="eastAsia" w:ascii="仿宋" w:hAnsi="仿宋" w:eastAsia="仿宋" w:cs="仿宋"/>
          <w:color w:val="000000" w:themeColor="text1"/>
          <w:sz w:val="28"/>
          <w:szCs w:val="28"/>
          <w14:textFill>
            <w14:solidFill>
              <w14:schemeClr w14:val="tx1"/>
            </w14:solidFill>
          </w14:textFill>
        </w:rPr>
        <w:t>月</w:t>
      </w:r>
      <w:r>
        <w:rPr>
          <w:rFonts w:hint="eastAsia" w:ascii="仿宋" w:hAnsi="仿宋" w:eastAsia="仿宋" w:cs="仿宋"/>
          <w:color w:val="000000" w:themeColor="text1"/>
          <w:sz w:val="28"/>
          <w:szCs w:val="28"/>
          <w:lang w:val="en-US" w:eastAsia="zh-CN"/>
          <w14:textFill>
            <w14:solidFill>
              <w14:schemeClr w14:val="tx1"/>
            </w14:solidFill>
          </w14:textFill>
        </w:rPr>
        <w:t>17</w:t>
      </w:r>
      <w:r>
        <w:rPr>
          <w:rFonts w:hint="eastAsia" w:ascii="仿宋" w:hAnsi="仿宋" w:eastAsia="仿宋" w:cs="仿宋"/>
          <w:color w:val="000000" w:themeColor="text1"/>
          <w:sz w:val="28"/>
          <w:szCs w:val="28"/>
          <w14:textFill>
            <w14:solidFill>
              <w14:schemeClr w14:val="tx1"/>
            </w14:solidFill>
          </w14:textFill>
        </w:rPr>
        <w:t>日）</w:t>
      </w:r>
    </w:p>
    <w:p w14:paraId="20063AA3">
      <w:pPr>
        <w:tabs>
          <w:tab w:val="right" w:leader="dot" w:pos="8948"/>
        </w:tabs>
        <w:spacing w:line="360" w:lineRule="auto"/>
        <w:rPr>
          <w:rFonts w:ascii="黑体" w:hAnsi="黑体" w:eastAsia="黑体" w:cs="黑体"/>
          <w:sz w:val="32"/>
          <w:szCs w:val="32"/>
        </w:rPr>
      </w:pPr>
      <w:r>
        <w:rPr>
          <w:rFonts w:hint="eastAsia" w:ascii="黑体" w:hAnsi="黑体" w:eastAsia="黑体" w:cs="黑体"/>
          <w:sz w:val="32"/>
          <w:szCs w:val="32"/>
        </w:rPr>
        <w:t>一、章程</w:t>
      </w:r>
    </w:p>
    <w:p w14:paraId="5279A139">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 xml:space="preserve">湖北第二师范学院章程（2023年修订） </w:t>
      </w:r>
    </w:p>
    <w:p w14:paraId="1AFFBF98">
      <w:pPr>
        <w:tabs>
          <w:tab w:val="right" w:leader="dot" w:pos="8948"/>
        </w:tabs>
        <w:spacing w:line="360" w:lineRule="auto"/>
        <w:rPr>
          <w:rFonts w:ascii="黑体" w:hAnsi="黑体" w:eastAsia="黑体" w:cs="黑体"/>
          <w:sz w:val="32"/>
          <w:szCs w:val="32"/>
        </w:rPr>
      </w:pPr>
    </w:p>
    <w:p w14:paraId="1072EC30">
      <w:pPr>
        <w:tabs>
          <w:tab w:val="right" w:leader="dot" w:pos="8948"/>
        </w:tabs>
        <w:spacing w:line="360" w:lineRule="auto"/>
        <w:rPr>
          <w:rFonts w:ascii="黑体" w:hAnsi="黑体" w:eastAsia="黑体" w:cs="黑体"/>
          <w:sz w:val="32"/>
          <w:szCs w:val="32"/>
        </w:rPr>
      </w:pPr>
      <w:r>
        <w:rPr>
          <w:rFonts w:hint="eastAsia" w:ascii="黑体" w:hAnsi="黑体" w:eastAsia="黑体" w:cs="黑体"/>
          <w:sz w:val="32"/>
          <w:szCs w:val="32"/>
        </w:rPr>
        <w:t>二、党政综合</w:t>
      </w:r>
    </w:p>
    <w:p w14:paraId="4E6566D9">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湖北第二师范学院党委领导下的校长负责制实施细则</w:t>
      </w:r>
    </w:p>
    <w:p w14:paraId="3308FCC8">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湖北第二师范学院党委全委会议事规则</w:t>
      </w:r>
    </w:p>
    <w:p w14:paraId="28A60C87">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湖北第二师范学院党委常务委员会会议议事规则</w:t>
      </w:r>
    </w:p>
    <w:p w14:paraId="4BDFDAF9">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湖北第二师范学院校长办公会议事规则 </w:t>
      </w:r>
    </w:p>
    <w:p w14:paraId="4BB9EC30">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湖北第二师范学院落实“三重一大”决策制度实施办法</w:t>
      </w:r>
    </w:p>
    <w:p w14:paraId="30BD2889">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湖北第二师范学院校级领导班子成员沟通协调制度</w:t>
      </w:r>
    </w:p>
    <w:p w14:paraId="13309AC8">
      <w:pPr>
        <w:tabs>
          <w:tab w:val="right" w:leader="dot" w:pos="8948"/>
        </w:tabs>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湖北第二师范学院校级领导班子周例会制度 </w:t>
      </w:r>
    </w:p>
    <w:p w14:paraId="0AEC918B">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湖北第二师范学院党委常委向党委全体会议报告工作的规定 </w:t>
      </w:r>
    </w:p>
    <w:p w14:paraId="0FECA00A">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湖北第二师范学院教学学院党委会会议议事规则（试行）</w:t>
      </w:r>
    </w:p>
    <w:p w14:paraId="28A012B6">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湖北第二师范学院教学学院党政联席会议议事规则</w:t>
      </w:r>
    </w:p>
    <w:p w14:paraId="042C8E7B">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湖北第二师范学院教职工代表大会实施办法</w:t>
      </w:r>
    </w:p>
    <w:p w14:paraId="690A9A8B">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湖北第二师范学院二级教职工代表大会实施办法（试行）</w:t>
      </w:r>
    </w:p>
    <w:p w14:paraId="11E9CF44">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湖北第二师范学院目标管理与考核办法（试行）</w:t>
      </w:r>
    </w:p>
    <w:p w14:paraId="177B7BE2">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湖北第二师范学院公文处理实施细则</w:t>
      </w:r>
    </w:p>
    <w:p w14:paraId="483AA034">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湖北第二师范学院会议管理办法</w:t>
      </w:r>
    </w:p>
    <w:p w14:paraId="22C6B615">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湖北第二师范学院决策性会议议题前置审查实施办法</w:t>
      </w:r>
    </w:p>
    <w:p w14:paraId="025B4D40">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湖北第二师范学院规章制度管理办法</w:t>
      </w:r>
    </w:p>
    <w:p w14:paraId="58F788D8">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 xml:space="preserve">湖北第二师范学院合同管理暂行办法 </w:t>
      </w:r>
    </w:p>
    <w:p w14:paraId="18AF0525">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湖北第二师范学院公文版头和发文字号使用规范（修订）</w:t>
      </w:r>
    </w:p>
    <w:p w14:paraId="64787F37">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湖北第二师范学院办公自动化（OA）系统运行管理办法（试行）</w:t>
      </w:r>
    </w:p>
    <w:p w14:paraId="66B18E0E">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 xml:space="preserve">湖北第二师范学院总值班工作规范 </w:t>
      </w:r>
    </w:p>
    <w:p w14:paraId="1D7C3241">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湖北第二师范学院国内公务接待管理办法（修订）</w:t>
      </w:r>
      <w:r>
        <w:rPr>
          <w:rFonts w:hint="eastAsia" w:ascii="仿宋" w:hAnsi="仿宋" w:eastAsia="仿宋" w:cs="仿宋"/>
          <w:sz w:val="32"/>
          <w:szCs w:val="32"/>
        </w:rPr>
        <w:cr/>
      </w:r>
      <w:r>
        <w:rPr>
          <w:rFonts w:hint="eastAsia" w:ascii="仿宋" w:hAnsi="仿宋" w:eastAsia="仿宋" w:cs="仿宋"/>
          <w:sz w:val="32"/>
          <w:szCs w:val="32"/>
        </w:rPr>
        <w:t xml:space="preserve">湖北第二师范学院突发事件应急处置实施办法 </w:t>
      </w:r>
    </w:p>
    <w:p w14:paraId="53D4D7D4">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湖北第二师范学院突发公共事件应急预案（2022年修订版）</w:t>
      </w:r>
    </w:p>
    <w:p w14:paraId="142421DC">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湖北第二师范学院法治工作三年规划实施办法</w:t>
      </w:r>
      <w:r>
        <w:rPr>
          <w:rFonts w:hint="eastAsia" w:ascii="仿宋" w:hAnsi="仿宋" w:eastAsia="仿宋" w:cs="仿宋"/>
          <w:sz w:val="32"/>
          <w:szCs w:val="32"/>
          <w:lang w:val="en-US" w:eastAsia="zh-CN"/>
        </w:rPr>
        <w:t>（2023－2025 年）</w:t>
      </w:r>
    </w:p>
    <w:p w14:paraId="081BE877">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湖北第二师范学院信访工作管理办法</w:t>
      </w:r>
    </w:p>
    <w:p w14:paraId="083E0E90">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湖北第二师范学院信访工作联席会议制度</w:t>
      </w:r>
    </w:p>
    <w:p w14:paraId="1F51A69D">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湖北第二师范学院信息公开实施细则</w:t>
      </w:r>
    </w:p>
    <w:p w14:paraId="31FA411E">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湖北第二师范学院信息系统安全等级保护管理规定（试行）</w:t>
      </w:r>
    </w:p>
    <w:p w14:paraId="473D0B8C">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湖北第二师范学院网络信息安全联席会议制度 </w:t>
      </w:r>
    </w:p>
    <w:p w14:paraId="007BEAFB">
      <w:pPr>
        <w:tabs>
          <w:tab w:val="right" w:leader="dot" w:pos="8948"/>
        </w:tabs>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rPr>
        <w:t>湖北第二师范学院信息化专家库建设与管理办法</w:t>
      </w:r>
      <w:r>
        <w:rPr>
          <w:rFonts w:hint="eastAsia" w:ascii="仿宋" w:hAnsi="仿宋" w:eastAsia="仿宋" w:cs="仿宋"/>
          <w:sz w:val="32"/>
          <w:szCs w:val="32"/>
          <w:lang w:val="en-US" w:eastAsia="zh-CN"/>
        </w:rPr>
        <w:t xml:space="preserve"> </w:t>
      </w:r>
    </w:p>
    <w:p w14:paraId="4B671B0E">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湖北第二师范学院涉密通信、办公自动化设备以及计算机信息系统管理规定 </w:t>
      </w:r>
    </w:p>
    <w:p w14:paraId="120845F1">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湖北第二师范学院校领导接待日制度</w:t>
      </w:r>
    </w:p>
    <w:p w14:paraId="1E17C5D3">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湖北第二师范学院督查督办工作实施办法</w:t>
      </w:r>
    </w:p>
    <w:p w14:paraId="349E7288">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湖北第二师范学院限时办结制度实施办法</w:t>
      </w:r>
    </w:p>
    <w:p w14:paraId="58C20172">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湖北第二师范学院图书馆工作委员会章程</w:t>
      </w:r>
    </w:p>
    <w:p w14:paraId="1B633483">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湖北第二师范学院图书馆文献资源采购管理办法（试行）</w:t>
      </w:r>
    </w:p>
    <w:p w14:paraId="01BBFC9A">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湖北第二师范学院档案管理办法（修订） </w:t>
      </w:r>
    </w:p>
    <w:p w14:paraId="21AB7531">
      <w:pPr>
        <w:tabs>
          <w:tab w:val="right" w:leader="dot" w:pos="8948"/>
        </w:tabs>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rPr>
        <w:t>湖北第二师范学院档案利用制度</w:t>
      </w:r>
      <w:r>
        <w:rPr>
          <w:rFonts w:hint="eastAsia" w:ascii="仿宋" w:hAnsi="仿宋" w:eastAsia="仿宋" w:cs="仿宋"/>
          <w:sz w:val="32"/>
          <w:szCs w:val="32"/>
          <w:lang w:val="en-US" w:eastAsia="zh-CN"/>
        </w:rPr>
        <w:t xml:space="preserve"> </w:t>
      </w:r>
    </w:p>
    <w:p w14:paraId="7DC7DF5C">
      <w:pPr>
        <w:tabs>
          <w:tab w:val="right" w:leader="dot" w:pos="8948"/>
        </w:tabs>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rPr>
        <w:t>湖北第二师范学院校史馆管理办法</w:t>
      </w:r>
      <w:r>
        <w:rPr>
          <w:rFonts w:hint="eastAsia" w:ascii="仿宋" w:hAnsi="仿宋" w:eastAsia="仿宋" w:cs="仿宋"/>
          <w:sz w:val="32"/>
          <w:szCs w:val="32"/>
          <w:lang w:val="en-US" w:eastAsia="zh-CN"/>
        </w:rPr>
        <w:t xml:space="preserve"> </w:t>
      </w:r>
    </w:p>
    <w:p w14:paraId="3215C091">
      <w:pPr>
        <w:tabs>
          <w:tab w:val="right" w:leader="dot" w:pos="8948"/>
        </w:tabs>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湖北第二师范学院档案分类方案、文件材料归档范围和档案保管期限表（试行）</w:t>
      </w:r>
    </w:p>
    <w:p w14:paraId="60C06EAD">
      <w:pPr>
        <w:tabs>
          <w:tab w:val="right" w:leader="dot" w:pos="8948"/>
        </w:tabs>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湖北第二师范学院数据安全管理办法（试行） </w:t>
      </w:r>
    </w:p>
    <w:p w14:paraId="6008935D">
      <w:pPr>
        <w:tabs>
          <w:tab w:val="right" w:leader="dot" w:pos="8948"/>
        </w:tabs>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湖北第二师范学院数据备份管理办法 </w:t>
      </w:r>
    </w:p>
    <w:p w14:paraId="1E279A72">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湖北第二师范学院定密管理暂行规定</w:t>
      </w:r>
    </w:p>
    <w:p w14:paraId="56A76067">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湖北第二师范学院保密工作管理规定 （保密） </w:t>
      </w:r>
    </w:p>
    <w:p w14:paraId="316CEA2F">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 xml:space="preserve">湖北第二师范学院保密工作责任制规定（保密） </w:t>
      </w:r>
    </w:p>
    <w:p w14:paraId="2A92D330">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湖北第二师范学院手机使用保密管理规定 （保密）</w:t>
      </w:r>
    </w:p>
    <w:p w14:paraId="5DAD74D7">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湖北第二师范学院工作秘密管理办法（保密）</w:t>
      </w:r>
    </w:p>
    <w:p w14:paraId="0B6CC165">
      <w:pPr>
        <w:tabs>
          <w:tab w:val="right" w:leader="dot" w:pos="8948"/>
        </w:tabs>
        <w:spacing w:line="360" w:lineRule="auto"/>
        <w:rPr>
          <w:rFonts w:ascii="仿宋" w:hAnsi="仿宋" w:eastAsia="仿宋" w:cs="仿宋"/>
          <w:color w:val="FF0000"/>
          <w:sz w:val="32"/>
          <w:szCs w:val="32"/>
        </w:rPr>
      </w:pPr>
      <w:r>
        <w:rPr>
          <w:rFonts w:hint="eastAsia" w:ascii="仿宋" w:hAnsi="仿宋" w:eastAsia="仿宋" w:cs="仿宋"/>
          <w:sz w:val="32"/>
          <w:szCs w:val="32"/>
        </w:rPr>
        <w:t xml:space="preserve">湖北第二师范学院涉密文件管理规定（保密） </w:t>
      </w:r>
    </w:p>
    <w:p w14:paraId="7BFAD087">
      <w:pPr>
        <w:tabs>
          <w:tab w:val="right" w:leader="dot" w:pos="8948"/>
        </w:tabs>
        <w:spacing w:line="360" w:lineRule="auto"/>
        <w:rPr>
          <w:rFonts w:ascii="仿宋" w:hAnsi="仿宋" w:eastAsia="仿宋" w:cs="仿宋"/>
          <w:color w:val="FF0000"/>
          <w:sz w:val="32"/>
          <w:szCs w:val="32"/>
        </w:rPr>
      </w:pPr>
    </w:p>
    <w:p w14:paraId="10F2DEDA">
      <w:pPr>
        <w:tabs>
          <w:tab w:val="right" w:leader="dot" w:pos="8948"/>
        </w:tabs>
        <w:spacing w:line="360" w:lineRule="auto"/>
        <w:rPr>
          <w:rFonts w:ascii="仿宋" w:hAnsi="仿宋" w:eastAsia="仿宋" w:cs="仿宋"/>
          <w:color w:val="FF0000"/>
          <w:sz w:val="32"/>
          <w:szCs w:val="32"/>
        </w:rPr>
      </w:pPr>
      <w:r>
        <w:rPr>
          <w:rFonts w:hint="eastAsia" w:ascii="黑体" w:hAnsi="黑体" w:eastAsia="黑体" w:cs="黑体"/>
          <w:sz w:val="32"/>
          <w:szCs w:val="32"/>
        </w:rPr>
        <w:t>三、党建思政</w:t>
      </w:r>
    </w:p>
    <w:p w14:paraId="66D6967E">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湖北第二师范学院基层党建工作述职评议考核办法</w:t>
      </w:r>
    </w:p>
    <w:p w14:paraId="6628CF64">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湖北第二师范学院党校工作条例 </w:t>
      </w:r>
    </w:p>
    <w:p w14:paraId="6ED1EAB6">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中共湖北第二师范学院委员会关于“双带头人”培育工程加强教师党支部书记队伍建设的实施办法（试行）</w:t>
      </w:r>
    </w:p>
    <w:p w14:paraId="6D6BF4AE">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湖北第二师范学院党费收缴、使用和管理办法</w:t>
      </w:r>
    </w:p>
    <w:p w14:paraId="506124C9">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湖北第二师范学院基层党组织外出开展党建活动费用管理暂行办法</w:t>
      </w:r>
    </w:p>
    <w:p w14:paraId="6E0021E8">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湖北第二师范学院“三全育人”综合改革建设方案</w:t>
      </w:r>
    </w:p>
    <w:p w14:paraId="53A65A90">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湖北第二师范学院“五个思政”实施方案</w:t>
      </w:r>
    </w:p>
    <w:p w14:paraId="75430FF4">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湖北第二师范学院深化新时代思想政治理论课改革创新的实施方案</w:t>
      </w:r>
    </w:p>
    <w:p w14:paraId="111C1C0A">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湖北第二师范学院全面推进“大思政课”建设工作方案</w:t>
      </w:r>
    </w:p>
    <w:p w14:paraId="39C94CF3">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湖北第二师范学院推进落实“时代新人铸魂工程”实施方案</w:t>
      </w:r>
    </w:p>
    <w:p w14:paraId="79D51515">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湖北第二师范学院关于加强大学生文明素养教育的实施意见</w:t>
      </w:r>
    </w:p>
    <w:p w14:paraId="35AF9FF9">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湖北第二师范学院新时代文明实践行动实施方案</w:t>
      </w:r>
    </w:p>
    <w:p w14:paraId="650C2A3C">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湖北第二师范学院精神文明创建工作管理规定</w:t>
      </w:r>
    </w:p>
    <w:p w14:paraId="778A5847">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湖北第二师范学院宣传思想阵地建设管理规定</w:t>
      </w:r>
    </w:p>
    <w:p w14:paraId="59079D33">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湖北第二师范学院建立“思想引领、学习在先”机制的实施办法</w:t>
      </w:r>
    </w:p>
    <w:p w14:paraId="2C67B56D">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湖北第二师范学院两级党委理论学习中心组学习制度（修订） </w:t>
      </w:r>
    </w:p>
    <w:p w14:paraId="0CC49E0C">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湖北第二师范学院二级党组织理论学习中心组巡学指导工作办法 </w:t>
      </w:r>
    </w:p>
    <w:p w14:paraId="16E54DE7">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湖北第二师范学院教职工政治理论学习制度</w:t>
      </w:r>
    </w:p>
    <w:p w14:paraId="0C5D2969">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湖北第二师范学院意识形态工作管理制度</w:t>
      </w:r>
    </w:p>
    <w:p w14:paraId="5D2CEE33">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湖北第二师范学院思想政治和意识形态工作联席会议制度</w:t>
      </w:r>
    </w:p>
    <w:p w14:paraId="621F0A71">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湖北第二师范学院师生意识形态思想动态研判工作实施办法</w:t>
      </w:r>
    </w:p>
    <w:p w14:paraId="511294A1">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湖北第二师范学院关于进一步加强科学研究领域意识形态工作责任制管理的规定</w:t>
      </w:r>
    </w:p>
    <w:p w14:paraId="5333FFCF">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湖北第二师范学院对外宣传工作管理办法（试行）</w:t>
      </w:r>
    </w:p>
    <w:p w14:paraId="34699ADA">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"_Toc17166" </w:instrText>
      </w:r>
      <w:r>
        <w:rPr>
          <w:rFonts w:hint="eastAsia" w:ascii="仿宋" w:hAnsi="仿宋" w:eastAsia="仿宋" w:cs="仿宋"/>
          <w:sz w:val="32"/>
          <w:szCs w:val="32"/>
        </w:rPr>
        <w:fldChar w:fldCharType="separate"/>
      </w:r>
      <w:r>
        <w:rPr>
          <w:rFonts w:hint="eastAsia" w:ascii="仿宋" w:hAnsi="仿宋" w:eastAsia="仿宋" w:cs="仿宋"/>
          <w:sz w:val="32"/>
          <w:szCs w:val="32"/>
        </w:rPr>
        <w:t>第二师范学院校园新媒体管理办法</w:t>
      </w:r>
      <w:r>
        <w:rPr>
          <w:rFonts w:hint="eastAsia" w:ascii="仿宋" w:hAnsi="仿宋" w:eastAsia="仿宋" w:cs="仿宋"/>
          <w:sz w:val="32"/>
          <w:szCs w:val="32"/>
        </w:rPr>
        <w:fldChar w:fldCharType="end"/>
      </w:r>
    </w:p>
    <w:p w14:paraId="7495B480">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湖北第二师范学院校园网主页新闻发布管理暂行办法</w:t>
      </w:r>
    </w:p>
    <w:p w14:paraId="2705B9BA">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湖北第二师范学院网络舆情处置管理办法</w:t>
      </w:r>
    </w:p>
    <w:p w14:paraId="60CA914F">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湖北第二师范学院湖北第二师范学院新闻发言人制度</w:t>
      </w:r>
    </w:p>
    <w:p w14:paraId="6BDFE52F">
      <w:pPr>
        <w:tabs>
          <w:tab w:val="right" w:leader="dot" w:pos="8948"/>
        </w:tabs>
        <w:spacing w:line="360" w:lineRule="auto"/>
        <w:rPr>
          <w:rFonts w:hint="eastAsia" w:ascii="仿宋" w:hAnsi="仿宋" w:eastAsia="仿宋" w:cs="仿宋"/>
          <w:sz w:val="32"/>
          <w:szCs w:val="32"/>
          <w:lang w:eastAsia="zh-CN"/>
        </w:rPr>
      </w:pPr>
      <w:r>
        <w:rPr>
          <w:rFonts w:hint="eastAsia" w:ascii="仿宋" w:hAnsi="仿宋" w:eastAsia="仿宋" w:cs="仿宋"/>
          <w:sz w:val="32"/>
          <w:szCs w:val="32"/>
        </w:rPr>
        <w:t>湖北第二师范学院校园标牌管理办法</w:t>
      </w:r>
    </w:p>
    <w:p w14:paraId="0A411A09">
      <w:pPr>
        <w:tabs>
          <w:tab w:val="right" w:leader="dot" w:pos="8948"/>
        </w:tabs>
        <w:spacing w:line="360" w:lineRule="auto"/>
        <w:rPr>
          <w:rFonts w:hint="eastAsia" w:ascii="仿宋" w:hAnsi="仿宋" w:eastAsia="仿宋" w:cs="仿宋"/>
          <w:color w:val="FF0000"/>
          <w:sz w:val="32"/>
          <w:szCs w:val="32"/>
          <w:lang w:eastAsia="zh-CN"/>
        </w:rPr>
      </w:pPr>
    </w:p>
    <w:p w14:paraId="0DF84CB2">
      <w:pPr>
        <w:numPr>
          <w:ilvl w:val="0"/>
          <w:numId w:val="1"/>
        </w:numPr>
        <w:tabs>
          <w:tab w:val="right" w:leader="dot" w:pos="8948"/>
        </w:tabs>
        <w:spacing w:line="360" w:lineRule="auto"/>
        <w:rPr>
          <w:rFonts w:ascii="黑体" w:hAnsi="黑体" w:eastAsia="黑体" w:cs="黑体"/>
          <w:sz w:val="32"/>
          <w:szCs w:val="32"/>
        </w:rPr>
      </w:pPr>
      <w:r>
        <w:rPr>
          <w:rFonts w:hint="eastAsia" w:ascii="黑体" w:hAnsi="黑体" w:eastAsia="黑体" w:cs="黑体"/>
          <w:sz w:val="32"/>
          <w:szCs w:val="32"/>
        </w:rPr>
        <w:t>教育教学</w:t>
      </w:r>
    </w:p>
    <w:p w14:paraId="605AEF93">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湖北第二师范学院教学委员会章程</w:t>
      </w:r>
    </w:p>
    <w:p w14:paraId="1C827539">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湖北第二师范学院教育教学督导章程</w:t>
      </w:r>
    </w:p>
    <w:p w14:paraId="4825B005">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湖北第二师范学院语言文字工作委员会章程</w:t>
      </w:r>
    </w:p>
    <w:p w14:paraId="76DBD554">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湖北第二师范学院教学工作条例</w:t>
      </w:r>
    </w:p>
    <w:p w14:paraId="04F50A1F">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湖北第二师范学院教学质量监控实施办法</w:t>
      </w:r>
    </w:p>
    <w:p w14:paraId="0963B967">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湖北第二师范学院提高课堂教学质量的实施细则</w:t>
      </w:r>
    </w:p>
    <w:p w14:paraId="30E56346">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湖北第二师范学院本科教学质量保障体系建设及实施办法</w:t>
      </w:r>
    </w:p>
    <w:p w14:paraId="7B0B73BF">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湖北第二师范学院领导干部听课制度</w:t>
      </w:r>
    </w:p>
    <w:p w14:paraId="1FCD610D">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湖北第二师范学院本科专业动态调整实施办法（试行）</w:t>
      </w:r>
    </w:p>
    <w:p w14:paraId="18D820E3">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湖北第二师范学院本科专业负责人制度实施办法</w:t>
      </w:r>
    </w:p>
    <w:p w14:paraId="69BB5470">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湖北第二师范学院微专业管理办法 </w:t>
      </w:r>
    </w:p>
    <w:p w14:paraId="314A7508">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湖北第二师范学院关于基层教学组织建设的指导意见 </w:t>
      </w:r>
    </w:p>
    <w:p w14:paraId="45B2DE94">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湖北第二师范学院教学成果奖励实施办法（暂行）</w:t>
      </w:r>
    </w:p>
    <w:p w14:paraId="651AFCA5">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湖北第二师范学院教师教学竞赛管理办法</w:t>
      </w:r>
    </w:p>
    <w:p w14:paraId="5481D582">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湖北第二师范学院教材选用管理办法 </w:t>
      </w:r>
    </w:p>
    <w:p w14:paraId="1AA909C5">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湖北第二师范学院实验教学管理办法</w:t>
      </w:r>
    </w:p>
    <w:p w14:paraId="6FE3BD9E">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湖北第二师范学院学位论文作假行为处理实施细则</w:t>
      </w:r>
    </w:p>
    <w:p w14:paraId="27E94354">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湖北第二师范学院教学经费分配及使用管理办法 </w:t>
      </w:r>
    </w:p>
    <w:p w14:paraId="0F0EFA4D">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湖北第二师学院教学实习经费管理办法 </w:t>
      </w:r>
    </w:p>
    <w:p w14:paraId="50B3AC4A">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湖北第二师范学院第二课堂成绩单（Ⅱ类学分社会实践）认定及评定管理暂行办法</w:t>
      </w:r>
      <w:r>
        <w:rPr>
          <w:rFonts w:hint="eastAsia" w:ascii="仿宋" w:hAnsi="仿宋" w:eastAsia="仿宋" w:cs="仿宋"/>
          <w:sz w:val="32"/>
          <w:szCs w:val="32"/>
        </w:rPr>
        <w:cr/>
      </w:r>
      <w:r>
        <w:rPr>
          <w:rFonts w:hint="eastAsia" w:ascii="仿宋" w:hAnsi="仿宋" w:eastAsia="仿宋" w:cs="仿宋"/>
          <w:sz w:val="32"/>
          <w:szCs w:val="32"/>
        </w:rPr>
        <w:t>湖北第二师范学院大学生科研创新计划实施办法</w:t>
      </w:r>
    </w:p>
    <w:p w14:paraId="395A1654">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湖北第二师范学院“优师计划”实施方案（试行） </w:t>
      </w:r>
    </w:p>
    <w:p w14:paraId="0C445F72">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湖北第二师范学院行知实验班管理暂行</w:t>
      </w:r>
    </w:p>
    <w:p w14:paraId="50EEF6C0">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湖北第二师范学院教学事故认定及处理办法 </w:t>
      </w:r>
    </w:p>
    <w:p w14:paraId="578F02C1">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湖北第二师范学院学生学籍管理规定</w:t>
      </w:r>
    </w:p>
    <w:p w14:paraId="2BE131E1">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湖北第二师范学院学士学位授予暂行规定</w:t>
      </w:r>
    </w:p>
    <w:p w14:paraId="43C9EDCE">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湖北第二师范学院本科学生辅修双学位管理暂行办法</w:t>
      </w:r>
    </w:p>
    <w:p w14:paraId="1387283F">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湖北第二师范学院体育运动委员会章程</w:t>
      </w:r>
    </w:p>
    <w:p w14:paraId="470E04B7">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湖北第二师范学院体育运动风险防控办法 </w:t>
      </w:r>
    </w:p>
    <w:p w14:paraId="34C48232">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湖北第二师范学院成人高等教育学籍管理规定</w:t>
      </w:r>
    </w:p>
    <w:p w14:paraId="3F06AB6D">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湖北第二师范学院高等教育自学考试社会助学课程学业综合评价实施细则</w:t>
      </w:r>
    </w:p>
    <w:p w14:paraId="3FDB9EDA">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湖北第二师范学院高等教育自学考试实践考核工作实施细则</w:t>
      </w:r>
    </w:p>
    <w:p w14:paraId="58EAD5C7">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湖北第二师范学院函授站建设与管理办法</w:t>
      </w:r>
    </w:p>
    <w:p w14:paraId="57E6FDF2">
      <w:pPr>
        <w:tabs>
          <w:tab w:val="right" w:leader="dot" w:pos="8948"/>
        </w:tabs>
        <w:spacing w:line="360" w:lineRule="auto"/>
        <w:rPr>
          <w:rFonts w:ascii="仿宋" w:hAnsi="仿宋" w:eastAsia="仿宋" w:cs="仿宋"/>
          <w:sz w:val="32"/>
          <w:szCs w:val="32"/>
        </w:rPr>
      </w:pPr>
    </w:p>
    <w:p w14:paraId="7BB69220">
      <w:pPr>
        <w:numPr>
          <w:ilvl w:val="0"/>
          <w:numId w:val="1"/>
        </w:numPr>
        <w:tabs>
          <w:tab w:val="right" w:leader="dot" w:pos="8948"/>
        </w:tabs>
        <w:spacing w:line="360" w:lineRule="auto"/>
        <w:rPr>
          <w:rFonts w:ascii="黑体" w:hAnsi="黑体" w:eastAsia="黑体" w:cs="黑体"/>
          <w:sz w:val="32"/>
          <w:szCs w:val="32"/>
        </w:rPr>
      </w:pPr>
      <w:r>
        <w:rPr>
          <w:rFonts w:hint="eastAsia" w:ascii="黑体" w:hAnsi="黑体" w:eastAsia="黑体" w:cs="黑体"/>
          <w:sz w:val="32"/>
          <w:szCs w:val="32"/>
        </w:rPr>
        <w:t>学生工作</w:t>
      </w:r>
    </w:p>
    <w:p w14:paraId="3FE12C98">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湖北第二师范学院学生管理规定</w:t>
      </w:r>
    </w:p>
    <w:p w14:paraId="539BB42C">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湖北第二师范学院学生日常行为规范 </w:t>
      </w:r>
    </w:p>
    <w:p w14:paraId="6E761742">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湖北第二师范学院学生违纪处分办法</w:t>
      </w:r>
    </w:p>
    <w:p w14:paraId="5091D38E">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湖北第二师范学院关于进一步加强大学生学风建设的实施意见 </w:t>
      </w:r>
    </w:p>
    <w:p w14:paraId="25952031">
      <w:pPr>
        <w:tabs>
          <w:tab w:val="right" w:leader="dot" w:pos="8948"/>
        </w:tabs>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湖北第二师范学院学生奖励办法（试行）</w:t>
      </w:r>
    </w:p>
    <w:p w14:paraId="5D605F29">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湖北第二师范学院学生勤工助学管理办法</w:t>
      </w:r>
    </w:p>
    <w:p w14:paraId="3301B109">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湖北第二师范学院家庭经济困难学生认定工作实施细则</w:t>
      </w:r>
    </w:p>
    <w:p w14:paraId="7ADEE653">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湖北第二师范学院家庭经济困难学生学费减免办法（试行)</w:t>
      </w:r>
    </w:p>
    <w:p w14:paraId="68A907FC">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湖北第二师范学院学生心理危机干预办法 </w:t>
      </w:r>
    </w:p>
    <w:p w14:paraId="3A6F2567">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湖北第二师范学院学生心理健康教育工作基本建设实施意见  </w:t>
      </w:r>
    </w:p>
    <w:p w14:paraId="0FB159D6">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湖北第二师范学院征兵工作实施办法</w:t>
      </w:r>
    </w:p>
    <w:p w14:paraId="48658DB6">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w:t>
      </w:r>
      <w:r>
        <w:rPr>
          <w:rFonts w:hint="eastAsia" w:ascii="仿宋" w:hAnsi="仿宋" w:eastAsia="仿宋" w:cs="仿宋"/>
          <w:sz w:val="32"/>
          <w:szCs w:val="32"/>
          <w:lang w:eastAsia="zh-CN"/>
        </w:rPr>
        <w:t>“</w:t>
      </w:r>
      <w:r>
        <w:rPr>
          <w:rFonts w:hint="eastAsia" w:ascii="仿宋" w:hAnsi="仿宋" w:eastAsia="仿宋" w:cs="仿宋"/>
          <w:sz w:val="32"/>
          <w:szCs w:val="32"/>
        </w:rPr>
        <w:t>一站式”学生社区服务驿站运行管理办法(试行)</w:t>
      </w:r>
    </w:p>
    <w:p w14:paraId="4AEB6B95">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湖北第二师范学院毕业生就业工作暂行办法</w:t>
      </w:r>
    </w:p>
    <w:p w14:paraId="654EE967">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湖北第二师范学院大学生创业孵化基地管理暂行办法</w:t>
      </w:r>
    </w:p>
    <w:p w14:paraId="1D85BA2E">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湖北第二师范学院团校工作条例（试行）</w:t>
      </w:r>
    </w:p>
    <w:p w14:paraId="56470481">
      <w:pPr>
        <w:tabs>
          <w:tab w:val="right" w:leader="dot" w:pos="8948"/>
        </w:tabs>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湖北第二师范学院学生社团建设管理办法（试行）</w:t>
      </w:r>
    </w:p>
    <w:p w14:paraId="08851BEC">
      <w:pPr>
        <w:tabs>
          <w:tab w:val="right" w:leader="dot" w:pos="8948"/>
        </w:tabs>
        <w:spacing w:line="360" w:lineRule="auto"/>
        <w:rPr>
          <w:rFonts w:ascii="黑体" w:hAnsi="黑体" w:eastAsia="黑体" w:cs="黑体"/>
          <w:sz w:val="32"/>
          <w:szCs w:val="32"/>
        </w:rPr>
      </w:pPr>
      <w:r>
        <w:rPr>
          <w:rFonts w:hint="eastAsia" w:ascii="仿宋" w:hAnsi="仿宋" w:eastAsia="仿宋" w:cs="仿宋"/>
          <w:color w:val="FF0000"/>
          <w:sz w:val="32"/>
          <w:szCs w:val="32"/>
          <w:lang w:val="en-US" w:eastAsia="zh-CN"/>
        </w:rPr>
        <w:cr/>
      </w:r>
      <w:r>
        <w:rPr>
          <w:rFonts w:hint="eastAsia" w:ascii="黑体" w:hAnsi="黑体" w:eastAsia="黑体" w:cs="黑体"/>
          <w:sz w:val="32"/>
          <w:szCs w:val="32"/>
        </w:rPr>
        <w:t>六、干部工作</w:t>
      </w:r>
    </w:p>
    <w:p w14:paraId="4650A952">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湖北第二师范学院中层干部选拔任用工作办法（试行）</w:t>
      </w:r>
    </w:p>
    <w:p w14:paraId="7D7D2F61">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湖北第二师范学院中层干部问责实施办法（试行）</w:t>
      </w:r>
    </w:p>
    <w:p w14:paraId="6EC8980A">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湖北第二师范学院关于对干部进行日常廉政谈话、任前廉政谈话、提醒、函询和诫勉的操作办法（试行）</w:t>
      </w:r>
    </w:p>
    <w:p w14:paraId="66EE501D">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湖北第二师范学院干部容错纠错实施办法</w:t>
      </w:r>
    </w:p>
    <w:p w14:paraId="18C0B72D">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湖北第二师范学院中层领导班子和领导干部年度考核办法（试行）</w:t>
      </w:r>
    </w:p>
    <w:p w14:paraId="769EFABE">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湖北第二师范学院中层党员干部民主生活会暂行规定</w:t>
      </w:r>
    </w:p>
    <w:p w14:paraId="79670479">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湖北第二师范学院中层领导干部外出报备制度</w:t>
      </w:r>
    </w:p>
    <w:p w14:paraId="6E172E20">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湖北第二师范学院中层干部轮岗交流办法（试行）</w:t>
      </w:r>
      <w:r>
        <w:rPr>
          <w:rFonts w:hint="eastAsia" w:ascii="仿宋" w:hAnsi="仿宋" w:eastAsia="仿宋" w:cs="仿宋"/>
          <w:sz w:val="32"/>
          <w:szCs w:val="32"/>
        </w:rPr>
        <w:cr/>
      </w:r>
      <w:r>
        <w:rPr>
          <w:rFonts w:hint="eastAsia" w:ascii="仿宋" w:hAnsi="仿宋" w:eastAsia="仿宋" w:cs="仿宋"/>
          <w:sz w:val="32"/>
          <w:szCs w:val="32"/>
        </w:rPr>
        <w:t>湖北第二师范学院干部校内挂职锻炼工作暂行办法</w:t>
      </w:r>
    </w:p>
    <w:p w14:paraId="6BD8889D">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湖北第二师范学院中层干部兼职管理暂行规定</w:t>
      </w:r>
    </w:p>
    <w:p w14:paraId="05DBA8B9">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 xml:space="preserve">湖北第二师范学院主任科员及以下级别管理人员职务职级晋升办法（试行）  </w:t>
      </w:r>
    </w:p>
    <w:p w14:paraId="6565A8AC">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湖北第二师范学院委员会组织员管理办法</w:t>
      </w:r>
    </w:p>
    <w:p w14:paraId="4C5558F6">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湖北第二师范学院乡村振兴工作队管理办法</w:t>
      </w:r>
    </w:p>
    <w:p w14:paraId="1C853BC0">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 xml:space="preserve">湖北第二师范学院关于选优配强教学学院团委书记的若干意见 </w:t>
      </w:r>
    </w:p>
    <w:p w14:paraId="79AA84FF">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湖北第二师范学院兼（挂）职共青团干部管理办法（试行）</w:t>
      </w:r>
    </w:p>
    <w:p w14:paraId="115DB1E4">
      <w:pPr>
        <w:tabs>
          <w:tab w:val="right" w:leader="dot" w:pos="8948"/>
        </w:tabs>
        <w:spacing w:line="360" w:lineRule="auto"/>
        <w:rPr>
          <w:rFonts w:hint="eastAsia" w:ascii="黑体" w:hAnsi="黑体" w:eastAsia="黑体" w:cs="黑体"/>
          <w:sz w:val="32"/>
          <w:szCs w:val="32"/>
        </w:rPr>
      </w:pPr>
      <w:r>
        <w:rPr>
          <w:rFonts w:hint="eastAsia" w:ascii="仿宋" w:hAnsi="仿宋" w:eastAsia="仿宋" w:cs="仿宋"/>
          <w:sz w:val="32"/>
          <w:szCs w:val="32"/>
        </w:rPr>
        <w:cr/>
      </w:r>
      <w:r>
        <w:rPr>
          <w:rFonts w:hint="eastAsia" w:ascii="黑体" w:hAnsi="黑体" w:eastAsia="黑体" w:cs="黑体"/>
          <w:sz w:val="32"/>
          <w:szCs w:val="32"/>
        </w:rPr>
        <w:t>七、人事师资</w:t>
      </w:r>
    </w:p>
    <w:p w14:paraId="193E5E0B">
      <w:pPr>
        <w:tabs>
          <w:tab w:val="right" w:leader="dot" w:pos="8948"/>
        </w:tabs>
        <w:spacing w:line="360" w:lineRule="auto"/>
        <w:rPr>
          <w:rFonts w:hint="eastAsia" w:ascii="仿宋" w:hAnsi="仿宋" w:eastAsia="仿宋" w:cs="仿宋"/>
          <w:sz w:val="32"/>
          <w:szCs w:val="32"/>
          <w:lang w:eastAsia="zh-CN"/>
        </w:rPr>
      </w:pPr>
      <w:r>
        <w:rPr>
          <w:rFonts w:hint="eastAsia" w:ascii="仿宋" w:hAnsi="仿宋" w:eastAsia="仿宋" w:cs="仿宋"/>
          <w:sz w:val="32"/>
          <w:szCs w:val="32"/>
          <w:lang w:val="en-US" w:eastAsia="zh-CN"/>
        </w:rPr>
        <w:t xml:space="preserve">湖北第二师范学院教职工考勤管理办法 </w:t>
      </w:r>
    </w:p>
    <w:p w14:paraId="779C65B6">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湖北第二师范学院教职工外出报备制度</w:t>
      </w:r>
    </w:p>
    <w:p w14:paraId="00664409">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湖北第二师范学院人事代理工作暂行办法</w:t>
      </w:r>
    </w:p>
    <w:p w14:paraId="4FA12A98">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湖北第二师范学院劳动合同制聘用人员管理暂行办法</w:t>
      </w:r>
    </w:p>
    <w:p w14:paraId="09154CC2">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湖北第二师范学院教职工荣誉表彰管理办法（试行） </w:t>
      </w:r>
    </w:p>
    <w:p w14:paraId="57BDFC2A">
      <w:pPr>
        <w:tabs>
          <w:tab w:val="right" w:leader="dot" w:pos="8948"/>
        </w:tabs>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rPr>
        <w:t>湖北第二师范学院合同制教师聘用管理暂行办法 （保密）</w:t>
      </w:r>
      <w:r>
        <w:rPr>
          <w:rFonts w:hint="eastAsia" w:ascii="仿宋" w:hAnsi="仿宋" w:eastAsia="仿宋" w:cs="仿宋"/>
          <w:sz w:val="32"/>
          <w:szCs w:val="32"/>
          <w:lang w:val="en-US" w:eastAsia="zh-CN"/>
        </w:rPr>
        <w:t>湖北第二师范学院绩效工资分配办法（试行）</w:t>
      </w:r>
    </w:p>
    <w:p w14:paraId="7BEA4EDC">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lang w:val="en-US" w:eastAsia="zh-CN"/>
        </w:rPr>
        <w:t>湖北第二师范学院非职务性工作绩效发放管理办法（试行）</w:t>
      </w:r>
      <w:r>
        <w:rPr>
          <w:rFonts w:hint="eastAsia" w:ascii="仿宋" w:hAnsi="仿宋" w:eastAsia="仿宋" w:cs="仿宋"/>
          <w:sz w:val="32"/>
          <w:szCs w:val="32"/>
        </w:rPr>
        <w:t xml:space="preserve">湖北第二师范学院办学成果贡献值认定标准 </w:t>
      </w:r>
    </w:p>
    <w:p w14:paraId="0076ECE5">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湖北第二师范学院优秀教师团队建设专项经费管理办法</w:t>
      </w:r>
    </w:p>
    <w:p w14:paraId="3EE5C3C4">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湖北第二师范学院高层次人才引进与管理办法（试行）</w:t>
      </w:r>
    </w:p>
    <w:p w14:paraId="159D28EA">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湖北第二师范学院“光谷学者计划”实施办法（试行）</w:t>
      </w:r>
    </w:p>
    <w:p w14:paraId="1AE2D7D3">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湖北第二师范学院人才项目评议推荐办法 </w:t>
      </w:r>
    </w:p>
    <w:p w14:paraId="5F80E636">
      <w:pPr>
        <w:tabs>
          <w:tab w:val="right" w:leader="dot" w:pos="8948"/>
        </w:tabs>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湖北第二师范学院岗位设置与聘用管理办法（试行）</w:t>
      </w:r>
    </w:p>
    <w:p w14:paraId="1D028E8D">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湖北第二师范学院新进教师首聘制管理办法  </w:t>
      </w:r>
    </w:p>
    <w:p w14:paraId="6CD065C6">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湖北第二师范学院预聘制教师管理办法（试行）</w:t>
      </w:r>
    </w:p>
    <w:p w14:paraId="72EB7ECE">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湖北第二师范学院柔性引进高层次人才管理暂行办法 </w:t>
      </w:r>
    </w:p>
    <w:p w14:paraId="22104FB8">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湖北第二师范学院引进人才职称认定办法 </w:t>
      </w:r>
    </w:p>
    <w:p w14:paraId="37262C42">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湖北第二师范学院专业技术三级岗位设置与人员选聘管理办法（试行）</w:t>
      </w:r>
    </w:p>
    <w:p w14:paraId="7BD45EB6">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湖北第二师范学院教师岗位分类管理暂行办法</w:t>
      </w:r>
    </w:p>
    <w:p w14:paraId="222DC303">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湖北第二师范学院高校教师专业技术职务任职资格评审条件 </w:t>
      </w:r>
    </w:p>
    <w:p w14:paraId="09DDE69F">
      <w:pPr>
        <w:tabs>
          <w:tab w:val="right" w:leader="dot" w:pos="8948"/>
        </w:tabs>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湖北第二师范学院非高校教师系列、实验系列专业技术职务推荐评审办法  </w:t>
      </w:r>
    </w:p>
    <w:p w14:paraId="2C72DE4D">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湖北第二师范学院高校教师、实验技术系列高级职称评审委员会工作规程 </w:t>
      </w:r>
    </w:p>
    <w:p w14:paraId="1A3765A0">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湖北第二师范学院双师双能型教师认定与管理暂行办法</w:t>
      </w:r>
    </w:p>
    <w:p w14:paraId="429785DA">
      <w:pPr>
        <w:tabs>
          <w:tab w:val="right" w:leader="dot" w:pos="8948"/>
        </w:tabs>
        <w:spacing w:line="360" w:lineRule="auto"/>
        <w:rPr>
          <w:rFonts w:hint="eastAsia" w:ascii="仿宋" w:hAnsi="仿宋" w:eastAsia="仿宋" w:cs="仿宋"/>
          <w:sz w:val="32"/>
          <w:szCs w:val="32"/>
          <w:lang w:eastAsia="zh-CN"/>
        </w:rPr>
      </w:pPr>
      <w:r>
        <w:rPr>
          <w:rFonts w:hint="eastAsia" w:ascii="仿宋" w:hAnsi="仿宋" w:eastAsia="仿宋" w:cs="仿宋"/>
          <w:sz w:val="32"/>
          <w:szCs w:val="32"/>
        </w:rPr>
        <w:t>湖北第二师范学院实验技术队伍建设暂行办法</w:t>
      </w:r>
    </w:p>
    <w:p w14:paraId="269483DC">
      <w:pPr>
        <w:tabs>
          <w:tab w:val="right" w:leader="dot" w:pos="8948"/>
        </w:tabs>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湖北第二师范学院辅导员考核及专项奖励实施办法 </w:t>
      </w:r>
    </w:p>
    <w:p w14:paraId="53C1BB3C">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湖北第二师范学院辅导员队伍建设实施办法 </w:t>
      </w:r>
    </w:p>
    <w:p w14:paraId="3AC07A72">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湖北第二师范学院辅导员工作室建设与管理办法（试行）</w:t>
      </w:r>
    </w:p>
    <w:p w14:paraId="6A685353">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湖北第二师范学院心理咨询师管理办法 </w:t>
      </w:r>
    </w:p>
    <w:p w14:paraId="103A4A54">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湖北第二师范学院学科课程与教学论教师管理办法（暂行）</w:t>
      </w:r>
    </w:p>
    <w:p w14:paraId="2A61843D">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湖北第二师范学院党委联系服务专家工作办法</w:t>
      </w:r>
    </w:p>
    <w:p w14:paraId="3CFC1C2D">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湖北第二师范学院新进教师入职培训管理办法</w:t>
      </w:r>
    </w:p>
    <w:p w14:paraId="43DCBDE4">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湖北第二师范学院教师培训管理办法（试行）</w:t>
      </w:r>
    </w:p>
    <w:p w14:paraId="4F93A62D">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湖北第二师范学院青年教师导师制管理规定</w:t>
      </w:r>
    </w:p>
    <w:p w14:paraId="074FE67F">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湖北第二师范学院教师出国（境）研修管理办法 </w:t>
      </w:r>
    </w:p>
    <w:p w14:paraId="0531F038">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湖北第二师范学院建立健全师德建设长效机制实施办法</w:t>
      </w:r>
    </w:p>
    <w:p w14:paraId="7B329490">
      <w:pPr>
        <w:tabs>
          <w:tab w:val="right" w:leader="dot" w:pos="8948"/>
        </w:tabs>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湖北第二师范学院师德考核评价实施办法（试行） </w:t>
      </w:r>
    </w:p>
    <w:p w14:paraId="73232553">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湖北第二师范学院教师师德档案管理办法</w:t>
      </w:r>
    </w:p>
    <w:p w14:paraId="20357BA7">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湖北第二师范学院师德舆情应急处理暂行办法</w:t>
      </w:r>
    </w:p>
    <w:p w14:paraId="32F5E448">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湖北第二师范学院教师师德失范行为通报警示暂行办法 </w:t>
      </w:r>
    </w:p>
    <w:p w14:paraId="4443FB43">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湖北第二师范学院教师师德失范行为负面清单及处理办法（试行）</w:t>
      </w:r>
    </w:p>
    <w:p w14:paraId="2EABFCDB">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湖北第二师范学院师德问题报告暂行办法</w:t>
      </w:r>
    </w:p>
    <w:p w14:paraId="4D590C0D">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湖北第二师范学院教师荣休制度</w:t>
      </w:r>
    </w:p>
    <w:p w14:paraId="01C53A22">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湖北第二师范学院教职工延退返聘管理办法（试行）</w:t>
      </w:r>
    </w:p>
    <w:p w14:paraId="131D5E2B">
      <w:pPr>
        <w:tabs>
          <w:tab w:val="right" w:leader="dot" w:pos="8948"/>
        </w:tabs>
        <w:spacing w:line="360" w:lineRule="auto"/>
        <w:rPr>
          <w:rFonts w:hint="eastAsia" w:ascii="仿宋" w:hAnsi="仿宋" w:eastAsia="仿宋" w:cs="仿宋"/>
          <w:sz w:val="32"/>
          <w:szCs w:val="32"/>
          <w:lang w:eastAsia="zh-CN"/>
        </w:rPr>
      </w:pPr>
      <w:r>
        <w:rPr>
          <w:rFonts w:hint="eastAsia" w:ascii="仿宋" w:hAnsi="仿宋" w:eastAsia="仿宋" w:cs="仿宋"/>
          <w:sz w:val="32"/>
          <w:szCs w:val="32"/>
        </w:rPr>
        <w:t>湖北第二师范学院教职工校内申诉办法（试行）</w:t>
      </w:r>
    </w:p>
    <w:p w14:paraId="68F1469E">
      <w:pPr>
        <w:tabs>
          <w:tab w:val="right" w:leader="dot" w:pos="8948"/>
        </w:tabs>
        <w:spacing w:line="360" w:lineRule="auto"/>
        <w:rPr>
          <w:rFonts w:hint="eastAsia" w:ascii="仿宋" w:hAnsi="仿宋" w:eastAsia="仿宋" w:cs="仿宋"/>
          <w:sz w:val="32"/>
          <w:szCs w:val="32"/>
          <w:lang w:eastAsia="zh-CN"/>
        </w:rPr>
      </w:pPr>
    </w:p>
    <w:p w14:paraId="6968B26D">
      <w:pPr>
        <w:numPr>
          <w:ilvl w:val="0"/>
          <w:numId w:val="2"/>
        </w:numPr>
        <w:tabs>
          <w:tab w:val="right" w:leader="dot" w:pos="8948"/>
        </w:tabs>
        <w:spacing w:line="360" w:lineRule="auto"/>
        <w:rPr>
          <w:rFonts w:ascii="黑体" w:hAnsi="黑体" w:eastAsia="黑体" w:cs="黑体"/>
          <w:sz w:val="32"/>
          <w:szCs w:val="32"/>
        </w:rPr>
      </w:pPr>
      <w:r>
        <w:rPr>
          <w:rFonts w:hint="eastAsia" w:ascii="黑体" w:hAnsi="黑体" w:eastAsia="黑体" w:cs="黑体"/>
          <w:sz w:val="32"/>
          <w:szCs w:val="32"/>
        </w:rPr>
        <w:t>科研工作</w:t>
      </w:r>
    </w:p>
    <w:p w14:paraId="45B8C0C5">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湖北第二师范学院学术委员会章程（暂行）</w:t>
      </w:r>
    </w:p>
    <w:p w14:paraId="27AFB063">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湖北第二师范学院科学技术协会章程</w:t>
      </w:r>
    </w:p>
    <w:p w14:paraId="0F3E1634">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 xml:space="preserve">湖北第二师范学院科研工作考核管理暂行办法 </w:t>
      </w:r>
    </w:p>
    <w:p w14:paraId="743D8F19">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湖北第二师范学院研究所（中心）管理办法（试行）</w:t>
      </w:r>
    </w:p>
    <w:p w14:paraId="42338029">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湖北第二师范学院进一步促进科学研究服务经济社会发展暂行规定</w:t>
      </w:r>
    </w:p>
    <w:p w14:paraId="42955511">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湖北第二师范学院科研育人暂行办法</w:t>
      </w:r>
    </w:p>
    <w:p w14:paraId="5FC0E501">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 xml:space="preserve">湖北第二师范学院科学伦理专门委员会工作规程 </w:t>
      </w:r>
    </w:p>
    <w:p w14:paraId="3554EB9D">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湖北第二师范学院科研诚信建设及学术不端行为处理规定（试行）</w:t>
      </w:r>
    </w:p>
    <w:p w14:paraId="671CD0E1">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 xml:space="preserve">湖北第二师范学院学术交流活动管理办法 </w:t>
      </w:r>
    </w:p>
    <w:p w14:paraId="6828B901">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 xml:space="preserve">湖北第二师范学院学术著作出版资助管理办法 </w:t>
      </w:r>
    </w:p>
    <w:p w14:paraId="5D1550F5">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湖北第二师范学院学术成果分类分级评价认定标准（试行）</w:t>
      </w:r>
    </w:p>
    <w:p w14:paraId="4E5DF556">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湖北第二师范学院人才引进科研启动经费管理办法（试行）</w:t>
      </w:r>
    </w:p>
    <w:p w14:paraId="4290C31F">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湖北第二师范学院财政科研项目经费管理办法（试行）</w:t>
      </w:r>
    </w:p>
    <w:p w14:paraId="49387A8F">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湖北第二师范学院财政科研项目经费“包干制”管理办法（试行）</w:t>
      </w:r>
    </w:p>
    <w:p w14:paraId="7E8752C5">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湖北第二师范学院横向科研项目经费管理实施细则</w:t>
      </w:r>
    </w:p>
    <w:p w14:paraId="18FC8305">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湖北第二师范学院纵向科研项目间接费用管理实施细则（试行）</w:t>
      </w:r>
    </w:p>
    <w:p w14:paraId="050213F8">
      <w:pPr>
        <w:tabs>
          <w:tab w:val="right" w:leader="dot" w:pos="8948"/>
        </w:tabs>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湖北第二师范学院科研项目经费审批权限暂行规定 </w:t>
      </w:r>
    </w:p>
    <w:p w14:paraId="5ECF06DC">
      <w:pPr>
        <w:tabs>
          <w:tab w:val="right" w:leader="dot" w:pos="8948"/>
        </w:tabs>
        <w:spacing w:line="360" w:lineRule="auto"/>
        <w:rPr>
          <w:rFonts w:hint="eastAsia" w:ascii="仿宋" w:hAnsi="仿宋" w:eastAsia="仿宋" w:cs="仿宋"/>
          <w:color w:val="FF0000"/>
          <w:sz w:val="32"/>
          <w:szCs w:val="32"/>
          <w:lang w:val="en-US" w:eastAsia="zh-CN"/>
        </w:rPr>
      </w:pPr>
    </w:p>
    <w:p w14:paraId="4919CD69">
      <w:pPr>
        <w:tabs>
          <w:tab w:val="right" w:leader="dot" w:pos="8948"/>
        </w:tabs>
        <w:spacing w:line="360" w:lineRule="auto"/>
        <w:rPr>
          <w:rFonts w:ascii="黑体" w:hAnsi="黑体" w:eastAsia="黑体" w:cs="黑体"/>
          <w:sz w:val="32"/>
          <w:szCs w:val="32"/>
        </w:rPr>
      </w:pPr>
      <w:r>
        <w:rPr>
          <w:rFonts w:hint="eastAsia" w:ascii="黑体" w:hAnsi="黑体" w:eastAsia="黑体" w:cs="黑体"/>
          <w:sz w:val="32"/>
          <w:szCs w:val="32"/>
        </w:rPr>
        <w:t>九、学科与研究生教育</w:t>
      </w:r>
    </w:p>
    <w:p w14:paraId="12D4CC76">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 xml:space="preserve">湖北第二师范学院重点学科（群）建设管理办法（试行） </w:t>
      </w:r>
    </w:p>
    <w:p w14:paraId="31419DC9">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湖北第二师范学院省级重点学科建设项目与配套经费管理办法</w:t>
      </w:r>
    </w:p>
    <w:p w14:paraId="7457CF08">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湖北第二师范学院联合培养研究生经费管理暂行办法</w:t>
      </w:r>
    </w:p>
    <w:p w14:paraId="04ECB914">
      <w:pPr>
        <w:tabs>
          <w:tab w:val="right" w:leader="dot" w:pos="8948"/>
        </w:tabs>
        <w:spacing w:line="360" w:lineRule="auto"/>
        <w:rPr>
          <w:rFonts w:ascii="黑体" w:hAnsi="黑体" w:eastAsia="黑体" w:cs="黑体"/>
          <w:sz w:val="32"/>
          <w:szCs w:val="32"/>
        </w:rPr>
      </w:pPr>
      <w:r>
        <w:rPr>
          <w:rFonts w:hint="eastAsia" w:ascii="仿宋" w:hAnsi="仿宋" w:eastAsia="仿宋" w:cs="仿宋"/>
          <w:sz w:val="32"/>
          <w:szCs w:val="32"/>
        </w:rPr>
        <w:cr/>
      </w:r>
      <w:r>
        <w:rPr>
          <w:rFonts w:hint="eastAsia" w:ascii="黑体" w:hAnsi="黑体" w:eastAsia="黑体" w:cs="黑体"/>
          <w:sz w:val="32"/>
          <w:szCs w:val="32"/>
        </w:rPr>
        <w:t>十、合作发展</w:t>
      </w:r>
    </w:p>
    <w:p w14:paraId="6C42DAC3">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_Toc29958 </w:instrText>
      </w:r>
      <w:r>
        <w:rPr>
          <w:rFonts w:hint="eastAsia" w:ascii="仿宋" w:hAnsi="仿宋" w:eastAsia="仿宋" w:cs="仿宋"/>
          <w:sz w:val="32"/>
          <w:szCs w:val="32"/>
        </w:rPr>
        <w:fldChar w:fldCharType="separate"/>
      </w:r>
      <w:r>
        <w:rPr>
          <w:rFonts w:hint="eastAsia" w:ascii="仿宋" w:hAnsi="仿宋" w:eastAsia="仿宋" w:cs="仿宋"/>
          <w:sz w:val="32"/>
          <w:szCs w:val="32"/>
        </w:rPr>
        <w:t>湖北第二师范学院国（境）内对外合作协议管理细则(试行)湖北第二师范学院</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"_Toc32629" </w:instrText>
      </w:r>
      <w:r>
        <w:rPr>
          <w:rFonts w:hint="eastAsia" w:ascii="仿宋" w:hAnsi="仿宋" w:eastAsia="仿宋" w:cs="仿宋"/>
          <w:sz w:val="32"/>
          <w:szCs w:val="32"/>
        </w:rPr>
        <w:fldChar w:fldCharType="separate"/>
      </w:r>
      <w:r>
        <w:rPr>
          <w:rFonts w:hint="eastAsia" w:ascii="仿宋" w:hAnsi="仿宋" w:eastAsia="仿宋" w:cs="仿宋"/>
          <w:sz w:val="32"/>
          <w:szCs w:val="32"/>
        </w:rPr>
        <w:t>光谷教师教育综合改革实验区基地学校和导师管理暂行办法</w:t>
      </w:r>
      <w:r>
        <w:rPr>
          <w:rFonts w:hint="eastAsia" w:ascii="仿宋" w:hAnsi="仿宋" w:eastAsia="仿宋" w:cs="仿宋"/>
          <w:sz w:val="32"/>
          <w:szCs w:val="32"/>
        </w:rPr>
        <w:fldChar w:fldCharType="end"/>
      </w:r>
    </w:p>
    <w:p w14:paraId="2985A43C">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w:t>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"_Toc15194" </w:instrText>
      </w:r>
      <w:r>
        <w:rPr>
          <w:rFonts w:hint="eastAsia" w:ascii="仿宋" w:hAnsi="仿宋" w:eastAsia="仿宋" w:cs="仿宋"/>
          <w:sz w:val="32"/>
          <w:szCs w:val="32"/>
        </w:rPr>
        <w:fldChar w:fldCharType="separate"/>
      </w:r>
      <w:r>
        <w:rPr>
          <w:rFonts w:hint="eastAsia" w:ascii="仿宋" w:hAnsi="仿宋" w:eastAsia="仿宋" w:cs="仿宋"/>
          <w:sz w:val="32"/>
          <w:szCs w:val="32"/>
        </w:rPr>
        <w:t>光谷教师教育综合改革实验区联席会议及秘书处工作规程</w:t>
      </w:r>
      <w:r>
        <w:rPr>
          <w:rFonts w:hint="eastAsia" w:ascii="仿宋" w:hAnsi="仿宋" w:eastAsia="仿宋" w:cs="仿宋"/>
          <w:sz w:val="32"/>
          <w:szCs w:val="32"/>
        </w:rPr>
        <w:fldChar w:fldCharType="end"/>
      </w:r>
    </w:p>
    <w:p w14:paraId="5F950F67">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"_Toc4732" </w:instrText>
      </w:r>
      <w:r>
        <w:rPr>
          <w:rFonts w:hint="eastAsia" w:ascii="仿宋" w:hAnsi="仿宋" w:eastAsia="仿宋" w:cs="仿宋"/>
          <w:sz w:val="32"/>
          <w:szCs w:val="32"/>
        </w:rPr>
        <w:fldChar w:fldCharType="separate"/>
      </w:r>
      <w:r>
        <w:rPr>
          <w:rFonts w:hint="eastAsia" w:ascii="仿宋" w:hAnsi="仿宋" w:eastAsia="仿宋" w:cs="仿宋"/>
          <w:sz w:val="32"/>
          <w:szCs w:val="32"/>
        </w:rPr>
        <w:t>湖北第二师范学院中小学教师（校长）培训项目经费管理办法</w:t>
      </w:r>
      <w:r>
        <w:rPr>
          <w:rFonts w:hint="eastAsia" w:ascii="仿宋" w:hAnsi="仿宋" w:eastAsia="仿宋" w:cs="仿宋"/>
          <w:sz w:val="32"/>
          <w:szCs w:val="32"/>
        </w:rPr>
        <w:fldChar w:fldCharType="end"/>
      </w:r>
      <w:r>
        <w:rPr>
          <w:rFonts w:hint="eastAsia" w:ascii="仿宋" w:hAnsi="仿宋" w:eastAsia="仿宋" w:cs="仿宋"/>
          <w:sz w:val="32"/>
          <w:szCs w:val="32"/>
        </w:rPr>
        <w:fldChar w:fldCharType="end"/>
      </w:r>
    </w:p>
    <w:p w14:paraId="658C694E">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"_Toc11994" </w:instrText>
      </w:r>
      <w:r>
        <w:rPr>
          <w:rFonts w:hint="eastAsia" w:ascii="仿宋" w:hAnsi="仿宋" w:eastAsia="仿宋" w:cs="仿宋"/>
          <w:sz w:val="32"/>
          <w:szCs w:val="32"/>
        </w:rPr>
        <w:fldChar w:fldCharType="separate"/>
      </w:r>
      <w:r>
        <w:rPr>
          <w:rFonts w:hint="eastAsia" w:ascii="仿宋" w:hAnsi="仿宋" w:eastAsia="仿宋" w:cs="仿宋"/>
          <w:sz w:val="32"/>
          <w:szCs w:val="32"/>
        </w:rPr>
        <w:t>湖北第二师范学院中外合作办学项目</w:t>
      </w:r>
      <w:r>
        <w:rPr>
          <w:rFonts w:hint="eastAsia" w:ascii="仿宋" w:hAnsi="仿宋" w:eastAsia="仿宋" w:cs="仿宋"/>
          <w:sz w:val="32"/>
          <w:szCs w:val="32"/>
        </w:rPr>
        <w:fldChar w:fldCharType="end"/>
      </w: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"_Toc14932" </w:instrText>
      </w:r>
      <w:r>
        <w:rPr>
          <w:rFonts w:hint="eastAsia" w:ascii="仿宋" w:hAnsi="仿宋" w:eastAsia="仿宋" w:cs="仿宋"/>
          <w:sz w:val="32"/>
          <w:szCs w:val="32"/>
        </w:rPr>
        <w:fldChar w:fldCharType="separate"/>
      </w:r>
      <w:r>
        <w:rPr>
          <w:rFonts w:hint="eastAsia" w:ascii="仿宋" w:hAnsi="仿宋" w:eastAsia="仿宋" w:cs="仿宋"/>
          <w:sz w:val="32"/>
          <w:szCs w:val="32"/>
        </w:rPr>
        <w:t>管理办法（试行）</w:t>
      </w:r>
      <w:r>
        <w:rPr>
          <w:rFonts w:hint="eastAsia" w:ascii="仿宋" w:hAnsi="仿宋" w:eastAsia="仿宋" w:cs="仿宋"/>
          <w:sz w:val="32"/>
          <w:szCs w:val="32"/>
        </w:rPr>
        <w:fldChar w:fldCharType="end"/>
      </w:r>
    </w:p>
    <w:p w14:paraId="08922681">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湖北第二师范学院因公临时出国（境）管理办法（试行）</w:t>
      </w:r>
    </w:p>
    <w:p w14:paraId="1FAE15A4">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"_Toc4277" </w:instrText>
      </w:r>
      <w:r>
        <w:rPr>
          <w:rFonts w:hint="eastAsia" w:ascii="仿宋" w:hAnsi="仿宋" w:eastAsia="仿宋" w:cs="仿宋"/>
          <w:sz w:val="32"/>
          <w:szCs w:val="32"/>
        </w:rPr>
        <w:fldChar w:fldCharType="separate"/>
      </w:r>
      <w:r>
        <w:rPr>
          <w:rFonts w:hint="eastAsia" w:ascii="仿宋" w:hAnsi="仿宋" w:eastAsia="仿宋" w:cs="仿宋"/>
          <w:sz w:val="32"/>
          <w:szCs w:val="32"/>
        </w:rPr>
        <w:t>湖北第二师范学院外籍教师聘用与管理办法</w:t>
      </w:r>
      <w:r>
        <w:rPr>
          <w:rFonts w:hint="eastAsia" w:ascii="仿宋" w:hAnsi="仿宋" w:eastAsia="仿宋" w:cs="仿宋"/>
          <w:sz w:val="32"/>
          <w:szCs w:val="32"/>
        </w:rPr>
        <w:fldChar w:fldCharType="end"/>
      </w:r>
    </w:p>
    <w:p w14:paraId="43412CC4">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湖北第二师范学院本科学生赴国（境）外交流学习管理办法（修订稿）</w:t>
      </w:r>
    </w:p>
    <w:p w14:paraId="67436C72">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fldChar w:fldCharType="begin"/>
      </w:r>
      <w:r>
        <w:rPr>
          <w:rFonts w:hint="eastAsia" w:ascii="仿宋" w:hAnsi="仿宋" w:eastAsia="仿宋" w:cs="仿宋"/>
          <w:sz w:val="32"/>
          <w:szCs w:val="32"/>
        </w:rPr>
        <w:instrText xml:space="preserve"> HYPERLINK \l "_Toc22569" </w:instrText>
      </w:r>
      <w:r>
        <w:rPr>
          <w:rFonts w:hint="eastAsia" w:ascii="仿宋" w:hAnsi="仿宋" w:eastAsia="仿宋" w:cs="仿宋"/>
          <w:sz w:val="32"/>
          <w:szCs w:val="32"/>
        </w:rPr>
        <w:fldChar w:fldCharType="separate"/>
      </w:r>
      <w:r>
        <w:rPr>
          <w:rFonts w:hint="eastAsia" w:ascii="仿宋" w:hAnsi="仿宋" w:eastAsia="仿宋" w:cs="仿宋"/>
          <w:sz w:val="32"/>
          <w:szCs w:val="32"/>
        </w:rPr>
        <w:t>湖北第二师范学院国际学生管理办法（试行）</w:t>
      </w:r>
      <w:r>
        <w:rPr>
          <w:rFonts w:hint="eastAsia" w:ascii="仿宋" w:hAnsi="仿宋" w:eastAsia="仿宋" w:cs="仿宋"/>
          <w:sz w:val="32"/>
          <w:szCs w:val="32"/>
        </w:rPr>
        <w:fldChar w:fldCharType="end"/>
      </w:r>
    </w:p>
    <w:p w14:paraId="47B15C5C">
      <w:pPr>
        <w:tabs>
          <w:tab w:val="right" w:leader="dot" w:pos="8948"/>
        </w:tabs>
        <w:spacing w:line="360" w:lineRule="auto"/>
        <w:rPr>
          <w:rFonts w:hint="eastAsia" w:ascii="仿宋" w:hAnsi="仿宋" w:eastAsia="仿宋" w:cs="仿宋"/>
          <w:sz w:val="32"/>
          <w:szCs w:val="32"/>
        </w:rPr>
      </w:pPr>
    </w:p>
    <w:p w14:paraId="02DA8DE2">
      <w:pPr>
        <w:numPr>
          <w:ilvl w:val="0"/>
          <w:numId w:val="3"/>
        </w:numPr>
        <w:tabs>
          <w:tab w:val="right" w:leader="dot" w:pos="8948"/>
        </w:tabs>
        <w:spacing w:line="360" w:lineRule="auto"/>
        <w:rPr>
          <w:rFonts w:ascii="黑体" w:hAnsi="黑体" w:eastAsia="黑体" w:cs="黑体"/>
          <w:sz w:val="32"/>
          <w:szCs w:val="32"/>
        </w:rPr>
      </w:pPr>
      <w:r>
        <w:rPr>
          <w:rFonts w:hint="eastAsia" w:ascii="黑体" w:hAnsi="黑体" w:eastAsia="黑体" w:cs="黑体"/>
          <w:sz w:val="32"/>
          <w:szCs w:val="32"/>
        </w:rPr>
        <w:t>财务资产</w:t>
      </w:r>
    </w:p>
    <w:p w14:paraId="1E412437">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湖北第二师范学院内部控制管理暂行办法（试行）</w:t>
      </w:r>
    </w:p>
    <w:p w14:paraId="47C6FAEB">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湖北第二师范学院财务管理暂行办法（试行）</w:t>
      </w:r>
    </w:p>
    <w:p w14:paraId="521370DC">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湖北第二师范学院预算管理办法（试行）</w:t>
      </w:r>
    </w:p>
    <w:p w14:paraId="24A2D874">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湖北第二师范学院预算支出绩效评价管理试行办法</w:t>
      </w:r>
    </w:p>
    <w:p w14:paraId="1D22B362">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 xml:space="preserve">湖北第二师范学院绩效指标和标准体系 </w:t>
      </w:r>
    </w:p>
    <w:p w14:paraId="7816DD2F">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湖北第二师范学院服务收入管理暂行办法</w:t>
      </w:r>
    </w:p>
    <w:p w14:paraId="54C899A2">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湖北第二师范学院经济合同管理实施细则</w:t>
      </w:r>
    </w:p>
    <w:p w14:paraId="578CEE0D">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湖北第二师范学院部门经济目标管理考核暂行办法</w:t>
      </w:r>
    </w:p>
    <w:p w14:paraId="77B426DE">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湖北第二师范学院财务报销实施细则</w:t>
      </w:r>
    </w:p>
    <w:p w14:paraId="45D93A67">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湖北第二师范学院公务卡结算管理办法</w:t>
      </w:r>
    </w:p>
    <w:p w14:paraId="1144FCC9">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 xml:space="preserve">湖北第二师范学院票据管理办法 </w:t>
      </w:r>
    </w:p>
    <w:p w14:paraId="44830327">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湖北第二师范学院会计档案管理办法</w:t>
      </w:r>
    </w:p>
    <w:p w14:paraId="61090FF4">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湖北第二师范学院学费及住宿费管理办法</w:t>
      </w:r>
    </w:p>
    <w:p w14:paraId="2C345A3A">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湖北第二师范学院会议费管理办法</w:t>
      </w:r>
    </w:p>
    <w:p w14:paraId="5776E1FF">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湖北第二师范学院劳务报酬管理办法</w:t>
      </w:r>
    </w:p>
    <w:p w14:paraId="0AC5359B">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湖北第二师范学院捐赠项目经费配套和奖励办法</w:t>
      </w:r>
    </w:p>
    <w:p w14:paraId="51927977">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湖北第二师范学院差旅费管理办法</w:t>
      </w:r>
      <w:r>
        <w:rPr>
          <w:rFonts w:hint="eastAsia" w:ascii="仿宋" w:hAnsi="仿宋" w:eastAsia="仿宋" w:cs="仿宋"/>
          <w:sz w:val="32"/>
          <w:szCs w:val="32"/>
        </w:rPr>
        <w:cr/>
      </w:r>
      <w:r>
        <w:rPr>
          <w:rFonts w:hint="eastAsia" w:ascii="仿宋" w:hAnsi="仿宋" w:eastAsia="仿宋" w:cs="仿宋"/>
          <w:sz w:val="32"/>
          <w:szCs w:val="32"/>
        </w:rPr>
        <w:t>湖北第二师范学院固定资产管理办法（试行）</w:t>
      </w:r>
    </w:p>
    <w:p w14:paraId="2FEFA2CF">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湖北第二师范学院公有房屋管理办法 </w:t>
      </w:r>
    </w:p>
    <w:p w14:paraId="77BA5DF2">
      <w:pPr>
        <w:tabs>
          <w:tab w:val="right" w:leader="dot" w:pos="8948"/>
        </w:tabs>
        <w:spacing w:line="360" w:lineRule="auto"/>
        <w:rPr>
          <w:rFonts w:hint="eastAsia" w:ascii="仿宋" w:hAnsi="仿宋" w:eastAsia="仿宋" w:cs="仿宋"/>
          <w:sz w:val="32"/>
          <w:szCs w:val="32"/>
          <w:lang w:eastAsia="zh-CN"/>
        </w:rPr>
      </w:pPr>
      <w:r>
        <w:rPr>
          <w:rFonts w:hint="eastAsia" w:ascii="仿宋" w:hAnsi="仿宋" w:eastAsia="仿宋" w:cs="仿宋"/>
          <w:sz w:val="32"/>
          <w:szCs w:val="32"/>
        </w:rPr>
        <w:t>湖北第二师范学院人才公寓管理办法</w:t>
      </w:r>
    </w:p>
    <w:p w14:paraId="70449D42">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湖北第二师范学院周转房管理办法</w:t>
      </w:r>
    </w:p>
    <w:p w14:paraId="07F68EBF">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湖北第二师范学院大型贵重仪器设备管理办法</w:t>
      </w:r>
    </w:p>
    <w:p w14:paraId="35EF3657">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湖北第二师范学院家具管理办法</w:t>
      </w:r>
    </w:p>
    <w:p w14:paraId="7E6653D2">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湖北第二师范学院仪器设备损坏、丢失、被盗赔偿处理暂行办法</w:t>
      </w:r>
    </w:p>
    <w:p w14:paraId="6842F258">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湖北第二师范学院材料、低值品、易耗品管理办法</w:t>
      </w:r>
    </w:p>
    <w:p w14:paraId="1083B796">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湖北第二师范学院国有资产出租出借管理办法（试行）</w:t>
      </w:r>
    </w:p>
    <w:p w14:paraId="18C28435">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湖北第二师范学院资产折旧（摊销）年限规定</w:t>
      </w:r>
    </w:p>
    <w:p w14:paraId="5761A127">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湖北第二师范学院国有资产处置管理办法（试行）</w:t>
      </w:r>
    </w:p>
    <w:p w14:paraId="6B17D8FB">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湖北第二师范学院危险物品安全监督管理办法</w:t>
      </w:r>
    </w:p>
    <w:p w14:paraId="46E3C347">
      <w:pPr>
        <w:tabs>
          <w:tab w:val="right" w:leader="dot" w:pos="8948"/>
        </w:tabs>
        <w:spacing w:line="360" w:lineRule="auto"/>
        <w:rPr>
          <w:rFonts w:hint="eastAsia" w:ascii="仿宋" w:hAnsi="仿宋" w:eastAsia="仿宋" w:cs="仿宋"/>
          <w:sz w:val="32"/>
          <w:szCs w:val="32"/>
        </w:rPr>
      </w:pPr>
    </w:p>
    <w:p w14:paraId="48E4166C">
      <w:pPr>
        <w:tabs>
          <w:tab w:val="right" w:leader="dot" w:pos="8948"/>
        </w:tabs>
        <w:spacing w:line="360" w:lineRule="auto"/>
        <w:rPr>
          <w:rFonts w:ascii="仿宋" w:hAnsi="仿宋" w:eastAsia="仿宋" w:cs="仿宋"/>
          <w:sz w:val="32"/>
          <w:szCs w:val="32"/>
        </w:rPr>
      </w:pPr>
      <w:r>
        <w:rPr>
          <w:rFonts w:hint="eastAsia" w:ascii="黑体" w:hAnsi="黑体" w:eastAsia="黑体" w:cs="黑体"/>
          <w:sz w:val="32"/>
          <w:szCs w:val="32"/>
        </w:rPr>
        <w:t>十二、招标审计</w:t>
      </w:r>
    </w:p>
    <w:p w14:paraId="3D879BF2">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湖北第二师范学院招标采购管理办法</w:t>
      </w:r>
    </w:p>
    <w:p w14:paraId="71A75CEA">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 xml:space="preserve">湖北第二师范学院招标采购工作领导小组会议议事规则 </w:t>
      </w:r>
    </w:p>
    <w:p w14:paraId="600D38A0">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湖北第二师范学院招标采购代理机构管理实施细则</w:t>
      </w:r>
    </w:p>
    <w:p w14:paraId="23E96D24">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湖北第二师范学院采购与招标负面清单</w:t>
      </w:r>
    </w:p>
    <w:p w14:paraId="4FFDF60D">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湖北第二师范学院内部审计工作规定</w:t>
      </w:r>
    </w:p>
    <w:p w14:paraId="4D2727AE">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湖北第二师范学院预算执行和决算审计实施办法</w:t>
      </w:r>
    </w:p>
    <w:p w14:paraId="250551CB">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湖北第二师范学院领导人员经济责任审计实施办法 </w:t>
      </w:r>
    </w:p>
    <w:p w14:paraId="02DC40DF">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湖北第二师范学院工程项目全过程审计实施办法（试行）</w:t>
      </w:r>
    </w:p>
    <w:p w14:paraId="143536B3">
      <w:pPr>
        <w:tabs>
          <w:tab w:val="right" w:leader="dot" w:pos="8948"/>
        </w:tabs>
        <w:spacing w:line="360" w:lineRule="auto"/>
        <w:rPr>
          <w:rFonts w:hint="eastAsia" w:ascii="仿宋" w:hAnsi="仿宋" w:eastAsia="仿宋" w:cs="仿宋"/>
          <w:sz w:val="32"/>
          <w:szCs w:val="32"/>
          <w:lang w:eastAsia="zh-CN"/>
        </w:rPr>
      </w:pPr>
      <w:r>
        <w:rPr>
          <w:rFonts w:hint="eastAsia" w:ascii="仿宋" w:hAnsi="仿宋" w:eastAsia="仿宋" w:cs="仿宋"/>
          <w:sz w:val="32"/>
          <w:szCs w:val="32"/>
        </w:rPr>
        <w:t>湖北第二师范学院工程审计质量控制办法</w:t>
      </w:r>
    </w:p>
    <w:p w14:paraId="7363DF62">
      <w:pPr>
        <w:tabs>
          <w:tab w:val="right" w:leader="dot" w:pos="8948"/>
        </w:tabs>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湖北第二师范学院建设工程项目审计实施办法 </w:t>
      </w:r>
    </w:p>
    <w:p w14:paraId="42DAAEDE">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湖北第二师范学院科研经费审计实施办法</w:t>
      </w:r>
    </w:p>
    <w:p w14:paraId="00A2E8FB">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湖北第二师范学院校办企业财务收支审计实施办法</w:t>
      </w:r>
    </w:p>
    <w:p w14:paraId="37A3A2C4">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湖北第二师范学院审计整改工作实施办法 </w:t>
      </w:r>
    </w:p>
    <w:p w14:paraId="07FEE40A">
      <w:pPr>
        <w:tabs>
          <w:tab w:val="right" w:leader="dot" w:pos="8948"/>
        </w:tabs>
        <w:spacing w:line="360" w:lineRule="auto"/>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湖北第二师范学院委托社会中介机构开展审计业务管理办法 </w:t>
      </w:r>
    </w:p>
    <w:p w14:paraId="2F0D6521">
      <w:pPr>
        <w:tabs>
          <w:tab w:val="right" w:leader="dot" w:pos="8948"/>
        </w:tabs>
        <w:spacing w:line="360" w:lineRule="auto"/>
        <w:rPr>
          <w:rFonts w:hint="eastAsia" w:ascii="仿宋" w:hAnsi="仿宋" w:eastAsia="仿宋" w:cs="仿宋"/>
          <w:sz w:val="32"/>
          <w:szCs w:val="32"/>
        </w:rPr>
      </w:pPr>
    </w:p>
    <w:p w14:paraId="752697E7">
      <w:pPr>
        <w:tabs>
          <w:tab w:val="right" w:leader="dot" w:pos="8948"/>
        </w:tabs>
        <w:spacing w:line="360" w:lineRule="auto"/>
        <w:rPr>
          <w:rFonts w:ascii="黑体" w:hAnsi="黑体" w:eastAsia="黑体" w:cs="黑体"/>
          <w:sz w:val="32"/>
          <w:szCs w:val="32"/>
        </w:rPr>
      </w:pPr>
      <w:r>
        <w:rPr>
          <w:rFonts w:hint="eastAsia" w:ascii="黑体" w:hAnsi="黑体" w:eastAsia="黑体" w:cs="黑体"/>
          <w:sz w:val="32"/>
          <w:szCs w:val="32"/>
        </w:rPr>
        <w:t>十三、基本建设</w:t>
      </w:r>
    </w:p>
    <w:p w14:paraId="57AA3289">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湖北第二师范学院项目库建设与管理办法（修订）</w:t>
      </w:r>
    </w:p>
    <w:p w14:paraId="16D87A62">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湖北第二师范学院基本建设管理办法</w:t>
      </w:r>
    </w:p>
    <w:p w14:paraId="0CD705D7">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湖北第二师范学院基建项目安全管理暂行办法</w:t>
      </w:r>
    </w:p>
    <w:p w14:paraId="7E69CBC5">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湖北第二师范学院基本建设监理管理暂行办法</w:t>
      </w:r>
    </w:p>
    <w:p w14:paraId="04BCC911">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湖北第二师范学院基本建设项目工程变更签证管理办法</w:t>
      </w:r>
    </w:p>
    <w:p w14:paraId="7A4AECFE">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 xml:space="preserve">湖北第二师范学院零星维修工程管理办法（试行） </w:t>
      </w:r>
    </w:p>
    <w:p w14:paraId="5B4B88F0">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湖北第二师范学院基建工程施工管理工作规程 </w:t>
      </w:r>
    </w:p>
    <w:p w14:paraId="6D4E1F92">
      <w:pPr>
        <w:tabs>
          <w:tab w:val="right" w:leader="dot" w:pos="8948"/>
        </w:tabs>
        <w:spacing w:line="360" w:lineRule="auto"/>
        <w:rPr>
          <w:rFonts w:hint="eastAsia" w:ascii="仿宋" w:hAnsi="仿宋" w:eastAsia="仿宋" w:cs="仿宋"/>
          <w:sz w:val="32"/>
          <w:szCs w:val="32"/>
        </w:rPr>
      </w:pPr>
    </w:p>
    <w:p w14:paraId="51916E93">
      <w:pPr>
        <w:tabs>
          <w:tab w:val="right" w:leader="dot" w:pos="8948"/>
        </w:tabs>
        <w:spacing w:line="360" w:lineRule="auto"/>
        <w:rPr>
          <w:rFonts w:ascii="黑体" w:hAnsi="黑体" w:eastAsia="黑体" w:cs="黑体"/>
          <w:sz w:val="32"/>
          <w:szCs w:val="32"/>
        </w:rPr>
      </w:pPr>
      <w:r>
        <w:rPr>
          <w:rFonts w:hint="eastAsia" w:ascii="黑体" w:hAnsi="黑体" w:eastAsia="黑体" w:cs="黑体"/>
          <w:sz w:val="32"/>
          <w:szCs w:val="32"/>
        </w:rPr>
        <w:t>十四、后勤、综合治理与公共服务</w:t>
      </w:r>
    </w:p>
    <w:p w14:paraId="01590F03">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湖北第二师范学院教职工医疗管理办法（试行）</w:t>
      </w:r>
    </w:p>
    <w:p w14:paraId="3A16F657">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《湖北第二师范学院教职工医疗管理办法（试行）》补充规定</w:t>
      </w:r>
    </w:p>
    <w:p w14:paraId="2831FA09">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 xml:space="preserve">湖北第二师范学院大学生城乡居民基本医疗保险普通门诊统筹管理办法 </w:t>
      </w:r>
    </w:p>
    <w:p w14:paraId="4840DC5F">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湖北第二师范学院传染病防控工作方案</w:t>
      </w:r>
    </w:p>
    <w:p w14:paraId="0EEB89BE">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湖北第二师范学院健康驿站管理运行工作方案</w:t>
      </w:r>
    </w:p>
    <w:p w14:paraId="0B4AD8D5">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湖北第二师范学院教师公寓物业管理规定（试行）</w:t>
      </w:r>
    </w:p>
    <w:p w14:paraId="0015B5CF">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湖北第二师范学院学生宿舍管理规定</w:t>
      </w:r>
    </w:p>
    <w:p w14:paraId="6EE5E119">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湖北第二师范学院礼堂管理规定 </w:t>
      </w:r>
    </w:p>
    <w:p w14:paraId="26FCA0B8">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湖北第二师范学院食堂管理办法</w:t>
      </w:r>
    </w:p>
    <w:p w14:paraId="313CBF9C">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湖北第二师范学院平安校园“七防工程”建设项目管理实施办法</w:t>
      </w:r>
    </w:p>
    <w:p w14:paraId="79CE3EEF">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 xml:space="preserve">湖北第二师范学院校园安全稳定暨综合治理联席会议制度 </w:t>
      </w:r>
    </w:p>
    <w:p w14:paraId="754B9272">
      <w:pPr>
        <w:tabs>
          <w:tab w:val="right" w:leader="dot" w:pos="8948"/>
        </w:tabs>
        <w:spacing w:line="360" w:lineRule="auto"/>
        <w:rPr>
          <w:rFonts w:hint="eastAsia" w:ascii="仿宋" w:hAnsi="仿宋" w:eastAsia="仿宋" w:cs="仿宋"/>
          <w:sz w:val="32"/>
          <w:szCs w:val="32"/>
        </w:rPr>
      </w:pPr>
      <w:r>
        <w:rPr>
          <w:rFonts w:hint="eastAsia" w:ascii="仿宋" w:hAnsi="仿宋" w:eastAsia="仿宋" w:cs="仿宋"/>
          <w:sz w:val="32"/>
          <w:szCs w:val="32"/>
        </w:rPr>
        <w:t>湖北第二师范学院安全网格化管理实施办法</w:t>
      </w:r>
    </w:p>
    <w:p w14:paraId="2EF6462B">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湖北第二师范学院校园交通管理办法</w:t>
      </w:r>
    </w:p>
    <w:p w14:paraId="4C6925A1">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 xml:space="preserve">湖北第二师范学院校园机动车辆停车服务收费管理办法 </w:t>
      </w:r>
    </w:p>
    <w:p w14:paraId="1B78BAFA">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 xml:space="preserve">湖北第二师范学院公务用车管理办法 </w:t>
      </w:r>
    </w:p>
    <w:p w14:paraId="608C76DA">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湖北第二师范学院废弃物管理办法（试行）</w:t>
      </w:r>
    </w:p>
    <w:p w14:paraId="28F7D749">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湖北第二师范学院校园绿化管理办法（试行）</w:t>
      </w:r>
    </w:p>
    <w:p w14:paraId="49A11372">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湖北第二师范学院校园弱电管网建设和管理规定</w:t>
      </w:r>
    </w:p>
    <w:p w14:paraId="6147B08E">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武汉师院资产经营管理有限公司章程</w:t>
      </w:r>
    </w:p>
    <w:p w14:paraId="536C7975">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 xml:space="preserve">武汉师院资产经营管理有限公司监事会议事规则 </w:t>
      </w:r>
    </w:p>
    <w:p w14:paraId="0240491D">
      <w:pPr>
        <w:tabs>
          <w:tab w:val="right" w:leader="dot" w:pos="8948"/>
        </w:tabs>
        <w:spacing w:line="360" w:lineRule="auto"/>
        <w:rPr>
          <w:rFonts w:ascii="仿宋" w:hAnsi="仿宋" w:eastAsia="仿宋" w:cs="仿宋"/>
          <w:sz w:val="32"/>
          <w:szCs w:val="32"/>
        </w:rPr>
      </w:pPr>
      <w:r>
        <w:rPr>
          <w:rFonts w:hint="eastAsia" w:ascii="仿宋" w:hAnsi="仿宋" w:eastAsia="仿宋" w:cs="仿宋"/>
          <w:sz w:val="32"/>
          <w:szCs w:val="32"/>
        </w:rPr>
        <w:t xml:space="preserve">武汉师院资产经营管理有限公司董事会议事规则 </w:t>
      </w:r>
    </w:p>
    <w:p w14:paraId="03765D89">
      <w:pPr>
        <w:tabs>
          <w:tab w:val="right" w:leader="dot" w:pos="8948"/>
        </w:tabs>
        <w:spacing w:line="360" w:lineRule="auto"/>
        <w:rPr>
          <w:rFonts w:ascii="仿宋" w:hAnsi="仿宋" w:eastAsia="仿宋" w:cs="仿宋"/>
          <w:color w:val="FF0000"/>
          <w:sz w:val="32"/>
          <w:szCs w:val="32"/>
        </w:rPr>
      </w:pPr>
    </w:p>
    <w:p w14:paraId="57058683">
      <w:pPr>
        <w:tabs>
          <w:tab w:val="right" w:leader="dot" w:pos="8948"/>
        </w:tabs>
        <w:spacing w:line="360" w:lineRule="auto"/>
        <w:rPr>
          <w:rFonts w:ascii="仿宋" w:hAnsi="仿宋" w:eastAsia="仿宋" w:cs="仿宋"/>
          <w:color w:val="FF0000"/>
          <w:sz w:val="32"/>
          <w:szCs w:val="32"/>
        </w:rPr>
      </w:pPr>
    </w:p>
    <w:p w14:paraId="1C637756"/>
    <w:p w14:paraId="7C914F5E"/>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8BD5650"/>
    <w:multiLevelType w:val="singleLevel"/>
    <w:tmpl w:val="88BD5650"/>
    <w:lvl w:ilvl="0" w:tentative="0">
      <w:start w:val="11"/>
      <w:numFmt w:val="chineseCounting"/>
      <w:suff w:val="nothing"/>
      <w:lvlText w:val="%1、"/>
      <w:lvlJc w:val="left"/>
      <w:pPr>
        <w:ind w:left="0" w:firstLine="0"/>
      </w:pPr>
    </w:lvl>
  </w:abstractNum>
  <w:abstractNum w:abstractNumId="1">
    <w:nsid w:val="DCD63086"/>
    <w:multiLevelType w:val="singleLevel"/>
    <w:tmpl w:val="DCD63086"/>
    <w:lvl w:ilvl="0" w:tentative="0">
      <w:start w:val="8"/>
      <w:numFmt w:val="chineseCounting"/>
      <w:suff w:val="nothing"/>
      <w:lvlText w:val="%1、"/>
      <w:lvlJc w:val="left"/>
      <w:pPr>
        <w:ind w:left="0" w:firstLine="0"/>
      </w:pPr>
    </w:lvl>
  </w:abstractNum>
  <w:abstractNum w:abstractNumId="2">
    <w:nsid w:val="5DC5C43C"/>
    <w:multiLevelType w:val="singleLevel"/>
    <w:tmpl w:val="5DC5C43C"/>
    <w:lvl w:ilvl="0" w:tentative="0">
      <w:start w:val="4"/>
      <w:numFmt w:val="chineseCounting"/>
      <w:suff w:val="nothing"/>
      <w:lvlText w:val="%1、"/>
      <w:lvlJc w:val="left"/>
      <w:pPr>
        <w:ind w:left="0" w:firstLine="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mNjMxZjI2YTljY2MwMzVlYmVlMTZiZDVlMjA1NzEifQ=="/>
  </w:docVars>
  <w:rsids>
    <w:rsidRoot w:val="00F61E01"/>
    <w:rsid w:val="00065809"/>
    <w:rsid w:val="002678DE"/>
    <w:rsid w:val="0059310D"/>
    <w:rsid w:val="00A268E4"/>
    <w:rsid w:val="00A47BAC"/>
    <w:rsid w:val="00F61E01"/>
    <w:rsid w:val="06CA4E08"/>
    <w:rsid w:val="08C2594B"/>
    <w:rsid w:val="0ADB7197"/>
    <w:rsid w:val="16DC051F"/>
    <w:rsid w:val="18616F2E"/>
    <w:rsid w:val="1DCD1D42"/>
    <w:rsid w:val="23FE7D27"/>
    <w:rsid w:val="252B4B4C"/>
    <w:rsid w:val="25445C0D"/>
    <w:rsid w:val="26C22FC5"/>
    <w:rsid w:val="2F7B66D0"/>
    <w:rsid w:val="30C145B6"/>
    <w:rsid w:val="3C1934F8"/>
    <w:rsid w:val="3DA43295"/>
    <w:rsid w:val="41891259"/>
    <w:rsid w:val="441A55FA"/>
    <w:rsid w:val="5AC27315"/>
    <w:rsid w:val="5C0041D2"/>
    <w:rsid w:val="62EF01DA"/>
    <w:rsid w:val="6C8146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